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97565E">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lang w:val="en-US" w:eastAsia="zh-CN"/>
        </w:rPr>
        <w:t>附件1云南省第三人民医院院感信息系统维护服务技术参数与要求</w:t>
      </w:r>
    </w:p>
    <w:p w14:paraId="0F51FAFF">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lang w:val="en-US" w:eastAsia="zh-CN"/>
        </w:rPr>
        <w:t>（一）建设目标</w:t>
      </w:r>
    </w:p>
    <w:p w14:paraId="39A7CCF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为采购人提供院感信息系统基础日常维护及系统优化服务，并定期回访、提供运维记录等服务。保障本项技术软件系统正常运行与使用。</w:t>
      </w:r>
    </w:p>
    <w:p w14:paraId="1B738E0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供应商需具有提供本院同版本系统维保服务的能力，即具备对医院院感信息系统的维护能力，可提供如相关授权、历史服务项目案例等材料。供应商应当保证给采购人的本项目技术服务是供应商本项目软件产品最成熟、稳定的维护服务。</w:t>
      </w:r>
    </w:p>
    <w:p w14:paraId="690E8C8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lang w:val="en-US" w:eastAsia="zh-CN"/>
        </w:rPr>
        <w:t>（二）服务内容</w:t>
      </w:r>
    </w:p>
    <w:p w14:paraId="233BB45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1.每季度进行数据库优化调校,优化医院信息系统数据库，提高系统运行效率，确保数据来源正确。</w:t>
      </w:r>
    </w:p>
    <w:p w14:paraId="7A2B1B5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2.每季度进行系统的例行更新、对系统功能优化、软件模块功能修订等。</w:t>
      </w:r>
    </w:p>
    <w:p w14:paraId="2BAAC92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3.每季度进行系统的效能调整，确保系统运行速度。</w:t>
      </w:r>
    </w:p>
    <w:p w14:paraId="2333EBD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4.医院院感相关政策调整时的咨询与相应调整服务。</w:t>
      </w:r>
    </w:p>
    <w:p w14:paraId="6D99AFB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5.科室意见反馈的咨询管理服务。</w:t>
      </w:r>
    </w:p>
    <w:p w14:paraId="13075D7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6.提供该系统的咨询管理服务。</w:t>
      </w:r>
    </w:p>
    <w:p w14:paraId="7D86059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7.提供电话技术支持及远端遥控支持。</w:t>
      </w:r>
    </w:p>
    <w:p w14:paraId="67964C4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8.提供系统的升级版本（提供对该运行中的系统于功能上出现的错误进行修正更新，并对该系统运行效率进行优化更新，确保系统稳定运行）。</w:t>
      </w:r>
    </w:p>
    <w:p w14:paraId="7560624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9.系统如发生问题，供应商首先采用电话技术支持及远端遥控支持。远程无法处理的问题，供应商技术人员应尽快派员到达现场解决并排除故障。</w:t>
      </w:r>
    </w:p>
    <w:p w14:paraId="70714E1F">
      <w:pPr>
        <w:overflowPunct w:val="0"/>
        <w:autoSpaceDE w:val="0"/>
        <w:autoSpaceDN w:val="0"/>
        <w:spacing w:line="440" w:lineRule="exact"/>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）对以上系统模块常规维护 。</w:t>
      </w:r>
    </w:p>
    <w:p w14:paraId="44273676">
      <w:pPr>
        <w:overflowPunct w:val="0"/>
        <w:autoSpaceDE w:val="0"/>
        <w:autoSpaceDN w:val="0"/>
        <w:spacing w:line="440" w:lineRule="exact"/>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11</w:t>
      </w:r>
      <w:r>
        <w:rPr>
          <w:rFonts w:hint="eastAsia" w:ascii="仿宋" w:hAnsi="仿宋" w:eastAsia="仿宋" w:cs="仿宋"/>
          <w:color w:val="auto"/>
          <w:sz w:val="32"/>
          <w:szCs w:val="32"/>
        </w:rPr>
        <w:t>）负责医院现有</w:t>
      </w:r>
      <w:r>
        <w:rPr>
          <w:rFonts w:hint="eastAsia" w:ascii="仿宋" w:hAnsi="仿宋" w:eastAsia="仿宋" w:cs="仿宋"/>
          <w:color w:val="auto"/>
          <w:sz w:val="32"/>
          <w:szCs w:val="32"/>
          <w:lang w:val="en-US" w:eastAsia="zh-CN"/>
        </w:rPr>
        <w:t>已对接</w:t>
      </w:r>
      <w:r>
        <w:rPr>
          <w:rFonts w:hint="eastAsia" w:ascii="仿宋" w:hAnsi="仿宋" w:eastAsia="仿宋" w:cs="仿宋"/>
          <w:color w:val="auto"/>
          <w:sz w:val="32"/>
          <w:szCs w:val="32"/>
        </w:rPr>
        <w:t>信息系统接口升级 、改造、维护工作。</w:t>
      </w:r>
    </w:p>
    <w:p w14:paraId="076DB9ED">
      <w:pPr>
        <w:overflowPunct w:val="0"/>
        <w:autoSpaceDE w:val="0"/>
        <w:autoSpaceDN w:val="0"/>
        <w:spacing w:line="440" w:lineRule="exact"/>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12</w:t>
      </w:r>
      <w:r>
        <w:rPr>
          <w:rFonts w:hint="eastAsia" w:ascii="仿宋" w:hAnsi="仿宋" w:eastAsia="仿宋" w:cs="仿宋"/>
          <w:color w:val="auto"/>
          <w:sz w:val="32"/>
          <w:szCs w:val="32"/>
        </w:rPr>
        <w:t>）负责医院新增加的各种数据接口的开发工作。</w:t>
      </w:r>
    </w:p>
    <w:p w14:paraId="26A75F7A">
      <w:pPr>
        <w:overflowPunct w:val="0"/>
        <w:autoSpaceDE w:val="0"/>
        <w:autoSpaceDN w:val="0"/>
        <w:spacing w:line="440" w:lineRule="exact"/>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13</w:t>
      </w:r>
      <w:r>
        <w:rPr>
          <w:rFonts w:hint="eastAsia" w:ascii="仿宋" w:hAnsi="仿宋" w:eastAsia="仿宋" w:cs="仿宋"/>
          <w:color w:val="auto"/>
          <w:sz w:val="32"/>
          <w:szCs w:val="32"/>
        </w:rPr>
        <w:t>）完善、修订、新增符合医院管理需求的各种报表，完善信息数据统计功能等。</w:t>
      </w:r>
    </w:p>
    <w:p w14:paraId="46007065">
      <w:pPr>
        <w:overflowPunct w:val="0"/>
        <w:autoSpaceDE w:val="0"/>
        <w:autoSpaceDN w:val="0"/>
        <w:spacing w:line="440" w:lineRule="exact"/>
        <w:ind w:firstLine="640" w:firstLineChars="20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14</w:t>
      </w:r>
      <w:r>
        <w:rPr>
          <w:rFonts w:hint="eastAsia" w:ascii="仿宋" w:hAnsi="仿宋" w:eastAsia="仿宋" w:cs="仿宋"/>
          <w:color w:val="auto"/>
          <w:sz w:val="32"/>
          <w:szCs w:val="32"/>
        </w:rPr>
        <w:t>）乙方需每个季度对医院信息系统运行情况进行巡检，并形成巡检报告。</w:t>
      </w:r>
    </w:p>
    <w:p w14:paraId="2BA06CDB">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b/>
          <w:bCs/>
          <w:color w:val="auto"/>
          <w:kern w:val="0"/>
          <w:sz w:val="32"/>
          <w:szCs w:val="32"/>
          <w:highlight w:val="none"/>
          <w:lang w:val="en-US" w:eastAsia="zh-CN"/>
        </w:rPr>
      </w:pPr>
      <w:r>
        <w:rPr>
          <w:rFonts w:hint="eastAsia" w:ascii="仿宋" w:hAnsi="仿宋" w:eastAsia="仿宋" w:cs="仿宋"/>
          <w:b/>
          <w:bCs/>
          <w:color w:val="auto"/>
          <w:kern w:val="0"/>
          <w:sz w:val="32"/>
          <w:szCs w:val="32"/>
          <w:highlight w:val="none"/>
          <w:lang w:val="en-US" w:eastAsia="zh-CN"/>
        </w:rPr>
        <w:t>（三）技术要求</w:t>
      </w:r>
    </w:p>
    <w:p w14:paraId="2A03862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3.1技术支持方式</w:t>
      </w:r>
    </w:p>
    <w:p w14:paraId="3C9ECD0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提供7×24小时的热线电话支持，责任工程师的移动电话24小时保持畅通。如果采购人使用的系统出现技术故障，无论是软件、网络，都可以得到远程支持与帮助。远程协助不能解决的问题，尽快抵达现场解决。</w:t>
      </w:r>
    </w:p>
    <w:p w14:paraId="5B49C71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（2）了解系统的运行状况，对系统定期维护保养，使系统处于最佳运行状态。技术工程师需帮助采购人进行系统维护，包括：</w:t>
      </w:r>
    </w:p>
    <w:p w14:paraId="76EB4C3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①系统状况检测：根据采购人的运行记录和系统的运行日志，对系统状况进行检查，及时发现并解决潜在的问题。</w:t>
      </w:r>
    </w:p>
    <w:p w14:paraId="23672C9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②系统升级或修补：根据行业发展和产品厂商提供的支持，定期对系统性能测试及调整，解答采购人有关系统维护的问题，了解采购人对服务的满意程度和新的需求。</w:t>
      </w:r>
    </w:p>
    <w:p w14:paraId="2A4CB63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③紧急上门服务：系统故障或系统灾难导致系统正常工作受到影响，尽快赶到现场服务。</w:t>
      </w:r>
    </w:p>
    <w:p w14:paraId="6264D8F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3.2技术支持内容</w:t>
      </w:r>
    </w:p>
    <w:p w14:paraId="7E5A072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（1）软件的日常维护。</w:t>
      </w:r>
    </w:p>
    <w:p w14:paraId="7FF1063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（2）系统故障处理：在发现软件存在潜在缺陷情况下，提供补丁程序并提供安装及调试服务。提供产品更新通知服务，确保采购人获得版本更新的升级软件产品。</w:t>
      </w:r>
    </w:p>
    <w:p w14:paraId="63D008E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（3）系统性能优化：系统运行环境检查，每季度对系统的运行环境进行检查，及时提出调优和故障预防建议。系统业务功能检查，保证单位业务能正常开展，需要对系统业务功能进行全面检查。</w:t>
      </w:r>
    </w:p>
    <w:p w14:paraId="1221C91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（4）数据库维护</w:t>
      </w:r>
    </w:p>
    <w:p w14:paraId="3406D1E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①数据库系统故障处理。</w:t>
      </w:r>
    </w:p>
    <w:p w14:paraId="6A1D4B3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②数据库性能优化。</w:t>
      </w:r>
    </w:p>
    <w:p w14:paraId="1E20A26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③数据库备份与恢复。</w:t>
      </w:r>
    </w:p>
    <w:p w14:paraId="361D3A0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④数据库整理。</w:t>
      </w:r>
    </w:p>
    <w:p w14:paraId="5EA8868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3.3应急维修时间安排</w:t>
      </w:r>
    </w:p>
    <w:p w14:paraId="4D1FA4E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（1）服务响应时间：一小时内响应。</w:t>
      </w:r>
    </w:p>
    <w:p w14:paraId="76AB7C8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到达现场时间：确认故障后和采购人商定，需以最快时间到达现场，进行重大紧急故障处理，到场后2小时解决问题。如出现2小时无法解决的问题，需提供相应备件产品供采购人使用，尽最大努力降低采购人的损失。</w:t>
      </w:r>
    </w:p>
    <w:p w14:paraId="72C594F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3.4其它服务承诺</w:t>
      </w:r>
    </w:p>
    <w:p w14:paraId="2AB2200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（1）当服务器硬件系统出问题，一时无法恢复时，成交供应商需启用应急处理措施，为采购人提供临时服务器解决方案，保证医院系统不影响正常的工作；</w:t>
      </w:r>
    </w:p>
    <w:p w14:paraId="20DB765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（2）培训要求：至少提供2名受训人员进行维护和保养等的技术培训，供应商提供详细的培训计划、培训内容及列明培训时间、地点。费用应包含在报价总报价内。</w:t>
      </w:r>
    </w:p>
    <w:p w14:paraId="0443DD3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highlight w:val="none"/>
          <w:lang w:val="en-US" w:eastAsia="zh-CN"/>
        </w:rPr>
        <w:t>人员要求</w:t>
      </w:r>
      <w:r>
        <w:rPr>
          <w:rFonts w:hint="eastAsia" w:ascii="仿宋" w:hAnsi="仿宋" w:eastAsia="仿宋" w:cs="仿宋"/>
          <w:color w:val="auto"/>
          <w:sz w:val="32"/>
          <w:szCs w:val="32"/>
          <w:lang w:val="en-US" w:eastAsia="zh-CN"/>
        </w:rPr>
        <w:t>：选派具有相关经验的技术人员负责维护工作，且在维护期间，为医院设立技术档案，用于记录系统维护记录。在服务期开始前，供应商须提供人员档案备案。如无特殊原因不得更换运维人员，更换人员需提前一个月告知。</w:t>
      </w:r>
    </w:p>
    <w:p w14:paraId="516A620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320" w:firstLineChars="1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（4）提供签订时间自2024年01月01日至响应文件递交时间止的</w:t>
      </w:r>
      <w:bookmarkStart w:id="0" w:name="_GoBack"/>
      <w:bookmarkEnd w:id="0"/>
      <w:r>
        <w:rPr>
          <w:rFonts w:hint="eastAsia" w:ascii="仿宋" w:hAnsi="仿宋" w:eastAsia="仿宋" w:cs="仿宋"/>
          <w:color w:val="auto"/>
          <w:sz w:val="32"/>
          <w:szCs w:val="32"/>
          <w:lang w:val="en-US" w:eastAsia="zh-CN"/>
        </w:rPr>
        <w:t>类似项目业绩的证明材料（以合同签订时间为准）。</w:t>
      </w:r>
    </w:p>
    <w:p w14:paraId="5278E57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lang w:val="en-US" w:eastAsia="zh-CN"/>
        </w:rPr>
        <w:t>（四）验收及使用</w:t>
      </w:r>
    </w:p>
    <w:p w14:paraId="0889B0C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1.验收标准：验收的主要依据包括本项目的采购文件、响应文件、合同等。</w:t>
      </w:r>
    </w:p>
    <w:p w14:paraId="0C01939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2.总体验收：成交供应商须为验收提供必需的一切条件及相关费用，服务期届满后，当项目所有工作内容完成以后，由成交供应商提交验收申请，采购人组织验收小组，负责对项目进行验收。</w:t>
      </w:r>
      <w:r>
        <w:rPr>
          <w:rFonts w:hint="eastAsia" w:ascii="仿宋" w:hAnsi="仿宋" w:eastAsia="仿宋" w:cs="仿宋"/>
          <w:color w:val="auto"/>
          <w:sz w:val="32"/>
          <w:szCs w:val="32"/>
          <w:highlight w:val="none"/>
          <w:lang w:val="en-US" w:eastAsia="zh-CN"/>
        </w:rPr>
        <w:t>依据考核方案，按照维护人员服务标准、维护工作质量标准，成</w:t>
      </w:r>
      <w:r>
        <w:rPr>
          <w:rFonts w:hint="eastAsia" w:ascii="仿宋" w:hAnsi="仿宋" w:eastAsia="仿宋" w:cs="仿宋"/>
          <w:color w:val="auto"/>
          <w:sz w:val="32"/>
          <w:szCs w:val="32"/>
          <w:lang w:val="en-US" w:eastAsia="zh-CN"/>
        </w:rPr>
        <w:t>交供应商必须提供本项目的相关文档和报告，并积极配合采购人进行完工验收工作，如果验收发现与详细业务需求不符或达不到规定的要求，采购人有权提出索赔。</w:t>
      </w:r>
    </w:p>
    <w:p w14:paraId="5807DB65">
      <w:pPr>
        <w:bidi w:val="0"/>
        <w:spacing w:line="360" w:lineRule="auto"/>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3.在采购人的监督下，服务过程中的各项工作和文档，须达到采购文件中技术要求的标准。</w:t>
      </w:r>
    </w:p>
    <w:p w14:paraId="19F8199F">
      <w:pPr>
        <w:rPr>
          <w:rFonts w:hint="eastAsia" w:ascii="仿宋" w:hAnsi="仿宋" w:eastAsia="仿宋" w:cs="仿宋"/>
          <w:color w:val="auto"/>
          <w:sz w:val="32"/>
          <w:szCs w:val="32"/>
        </w:rPr>
      </w:pPr>
    </w:p>
    <w:p w14:paraId="073FC7E1">
      <w:pPr>
        <w:pStyle w:val="2"/>
        <w:rPr>
          <w:rFonts w:hint="eastAsia" w:ascii="仿宋" w:hAnsi="仿宋" w:eastAsia="仿宋" w:cs="仿宋"/>
          <w:color w:val="auto"/>
          <w:sz w:val="32"/>
          <w:szCs w:val="32"/>
        </w:rPr>
      </w:pPr>
    </w:p>
    <w:p w14:paraId="0F107A26">
      <w:pPr>
        <w:rPr>
          <w:rFonts w:hint="eastAsia" w:ascii="仿宋" w:hAnsi="仿宋" w:eastAsia="仿宋" w:cs="仿宋"/>
          <w:color w:val="auto"/>
          <w:sz w:val="32"/>
          <w:szCs w:val="32"/>
        </w:rPr>
      </w:pPr>
    </w:p>
    <w:p w14:paraId="38E2AC87">
      <w:pPr>
        <w:pStyle w:val="2"/>
        <w:rPr>
          <w:rFonts w:hint="eastAsia" w:ascii="仿宋" w:hAnsi="仿宋" w:eastAsia="仿宋" w:cs="仿宋"/>
          <w:color w:val="auto"/>
          <w:sz w:val="32"/>
          <w:szCs w:val="32"/>
        </w:rPr>
      </w:pPr>
    </w:p>
    <w:p w14:paraId="796AB3ED">
      <w:pPr>
        <w:rPr>
          <w:rFonts w:hint="eastAsia" w:ascii="仿宋" w:hAnsi="仿宋" w:eastAsia="仿宋" w:cs="仿宋"/>
          <w:color w:val="auto"/>
          <w:sz w:val="32"/>
          <w:szCs w:val="32"/>
        </w:rPr>
      </w:pPr>
    </w:p>
    <w:p w14:paraId="5F03003C">
      <w:pPr>
        <w:pStyle w:val="2"/>
        <w:rPr>
          <w:rFonts w:hint="eastAsia" w:ascii="仿宋" w:hAnsi="仿宋" w:eastAsia="仿宋" w:cs="仿宋"/>
          <w:color w:val="auto"/>
          <w:sz w:val="32"/>
          <w:szCs w:val="32"/>
        </w:rPr>
      </w:pPr>
    </w:p>
    <w:p w14:paraId="371C36B5">
      <w:pPr>
        <w:rPr>
          <w:rFonts w:hint="eastAsia" w:ascii="仿宋" w:hAnsi="仿宋" w:eastAsia="仿宋" w:cs="仿宋"/>
          <w:color w:val="auto"/>
          <w:sz w:val="32"/>
          <w:szCs w:val="32"/>
        </w:rPr>
      </w:pPr>
    </w:p>
    <w:p w14:paraId="15171ED6">
      <w:pPr>
        <w:pStyle w:val="2"/>
        <w:rPr>
          <w:rFonts w:hint="eastAsia" w:ascii="仿宋" w:hAnsi="仿宋" w:eastAsia="仿宋" w:cs="仿宋"/>
          <w:color w:val="auto"/>
          <w:sz w:val="32"/>
          <w:szCs w:val="32"/>
        </w:rPr>
      </w:pPr>
    </w:p>
    <w:p w14:paraId="6ADB4D3B">
      <w:pPr>
        <w:rPr>
          <w:rFonts w:hint="eastAsia" w:ascii="仿宋" w:hAnsi="仿宋" w:eastAsia="仿宋" w:cs="仿宋"/>
          <w:color w:val="auto"/>
          <w:sz w:val="32"/>
          <w:szCs w:val="32"/>
        </w:rPr>
      </w:pPr>
    </w:p>
    <w:p w14:paraId="146B6DB9">
      <w:pPr>
        <w:pStyle w:val="2"/>
        <w:rPr>
          <w:rFonts w:hint="eastAsia" w:ascii="仿宋" w:hAnsi="仿宋" w:eastAsia="仿宋" w:cs="仿宋"/>
          <w:color w:val="auto"/>
          <w:sz w:val="32"/>
          <w:szCs w:val="32"/>
        </w:rPr>
      </w:pPr>
    </w:p>
    <w:p w14:paraId="2F60A06B">
      <w:pPr>
        <w:rPr>
          <w:rFonts w:hint="eastAsia" w:ascii="仿宋" w:hAnsi="仿宋" w:eastAsia="仿宋" w:cs="仿宋"/>
          <w:color w:val="auto"/>
          <w:sz w:val="32"/>
          <w:szCs w:val="32"/>
        </w:rPr>
      </w:pPr>
    </w:p>
    <w:p w14:paraId="128E3470">
      <w:pPr>
        <w:pStyle w:val="2"/>
        <w:rPr>
          <w:rFonts w:hint="eastAsia" w:ascii="仿宋" w:hAnsi="仿宋" w:eastAsia="仿宋" w:cs="仿宋"/>
          <w:color w:val="auto"/>
          <w:sz w:val="32"/>
          <w:szCs w:val="32"/>
        </w:rPr>
      </w:pPr>
    </w:p>
    <w:p w14:paraId="0C9260C1">
      <w:pPr>
        <w:rPr>
          <w:rFonts w:hint="eastAsia" w:ascii="仿宋" w:hAnsi="仿宋" w:eastAsia="仿宋" w:cs="仿宋"/>
          <w:color w:val="auto"/>
          <w:sz w:val="32"/>
          <w:szCs w:val="32"/>
        </w:rPr>
      </w:pPr>
    </w:p>
    <w:p w14:paraId="5906350C">
      <w:pPr>
        <w:pStyle w:val="2"/>
        <w:rPr>
          <w:rFonts w:hint="eastAsia" w:ascii="仿宋" w:hAnsi="仿宋" w:eastAsia="仿宋" w:cs="仿宋"/>
          <w:color w:val="auto"/>
          <w:sz w:val="32"/>
          <w:szCs w:val="32"/>
        </w:rPr>
      </w:pPr>
    </w:p>
    <w:p w14:paraId="42DE39B1">
      <w:pPr>
        <w:rPr>
          <w:rFonts w:hint="eastAsia"/>
        </w:rPr>
      </w:pPr>
    </w:p>
    <w:p w14:paraId="6C1FB3A7">
      <w:pPr>
        <w:pStyle w:val="3"/>
        <w:rPr>
          <w:rFonts w:hint="eastAsia" w:ascii="仿宋" w:hAnsi="仿宋" w:eastAsia="仿宋" w:cs="仿宋"/>
          <w:color w:val="auto"/>
          <w:sz w:val="32"/>
          <w:szCs w:val="32"/>
        </w:rPr>
      </w:pPr>
    </w:p>
    <w:p w14:paraId="54632A52">
      <w:pPr>
        <w:pStyle w:val="5"/>
        <w:jc w:val="cente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考核方案</w:t>
      </w:r>
    </w:p>
    <w:tbl>
      <w:tblPr>
        <w:tblStyle w:val="7"/>
        <w:tblW w:w="8839" w:type="dxa"/>
        <w:tblInd w:w="-2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65"/>
        <w:gridCol w:w="2348"/>
        <w:gridCol w:w="2310"/>
        <w:gridCol w:w="1552"/>
        <w:gridCol w:w="766"/>
        <w:gridCol w:w="1098"/>
      </w:tblGrid>
      <w:tr w14:paraId="1776C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6975" w:type="dxa"/>
            <w:gridSpan w:val="4"/>
            <w:noWrap w:val="0"/>
            <w:vAlign w:val="center"/>
          </w:tcPr>
          <w:p w14:paraId="3E83EBAF">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考  核  标  准</w:t>
            </w:r>
          </w:p>
        </w:tc>
        <w:tc>
          <w:tcPr>
            <w:tcW w:w="766" w:type="dxa"/>
            <w:noWrap w:val="0"/>
            <w:vAlign w:val="center"/>
          </w:tcPr>
          <w:p w14:paraId="056F626E">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扣分</w:t>
            </w:r>
          </w:p>
        </w:tc>
        <w:tc>
          <w:tcPr>
            <w:tcW w:w="1098" w:type="dxa"/>
            <w:noWrap w:val="0"/>
            <w:vAlign w:val="center"/>
          </w:tcPr>
          <w:p w14:paraId="456EB62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p>
        </w:tc>
      </w:tr>
      <w:tr w14:paraId="7F9BD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6" w:hRule="atLeast"/>
        </w:trPr>
        <w:tc>
          <w:tcPr>
            <w:tcW w:w="765" w:type="dxa"/>
            <w:vMerge w:val="restart"/>
            <w:noWrap w:val="0"/>
            <w:vAlign w:val="center"/>
          </w:tcPr>
          <w:p w14:paraId="43CED6B8">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维护</w:t>
            </w:r>
          </w:p>
          <w:p w14:paraId="5D03FE95">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人员</w:t>
            </w:r>
          </w:p>
          <w:p w14:paraId="5DC1FA7C">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w:t>
            </w:r>
          </w:p>
          <w:p w14:paraId="4A00D11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标准</w:t>
            </w:r>
          </w:p>
        </w:tc>
        <w:tc>
          <w:tcPr>
            <w:tcW w:w="6210" w:type="dxa"/>
            <w:gridSpan w:val="3"/>
            <w:noWrap w:val="0"/>
            <w:tcMar>
              <w:top w:w="0" w:type="dxa"/>
              <w:left w:w="57" w:type="dxa"/>
              <w:bottom w:w="0" w:type="dxa"/>
              <w:right w:w="57" w:type="dxa"/>
            </w:tcMar>
            <w:vAlign w:val="center"/>
          </w:tcPr>
          <w:p w14:paraId="0ADA237A">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1.维护人员言行举止，文明有礼,保持场地整洁，人走场清，保证维护场地卫生清洁，每次不符扣5分；</w:t>
            </w:r>
          </w:p>
        </w:tc>
        <w:tc>
          <w:tcPr>
            <w:tcW w:w="766" w:type="dxa"/>
            <w:noWrap w:val="0"/>
            <w:vAlign w:val="center"/>
          </w:tcPr>
          <w:p w14:paraId="109F10F2">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7CBA1B02">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2EB4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0" w:hRule="atLeast"/>
        </w:trPr>
        <w:tc>
          <w:tcPr>
            <w:tcW w:w="765" w:type="dxa"/>
            <w:vMerge w:val="continue"/>
            <w:noWrap w:val="0"/>
            <w:vAlign w:val="center"/>
          </w:tcPr>
          <w:p w14:paraId="0A1FD87D">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666BB76D">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2.维护人员应遵守合同约定，不得向用户变相索取小费或加班费等，每次不符扣5分；</w:t>
            </w:r>
          </w:p>
        </w:tc>
        <w:tc>
          <w:tcPr>
            <w:tcW w:w="766" w:type="dxa"/>
            <w:noWrap w:val="0"/>
            <w:vAlign w:val="center"/>
          </w:tcPr>
          <w:p w14:paraId="1487FD05">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092A1189">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4614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3" w:hRule="atLeast"/>
        </w:trPr>
        <w:tc>
          <w:tcPr>
            <w:tcW w:w="765" w:type="dxa"/>
            <w:vMerge w:val="continue"/>
            <w:noWrap w:val="0"/>
            <w:vAlign w:val="center"/>
          </w:tcPr>
          <w:p w14:paraId="3E964D99">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7013782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3.用户对维护人员服务态度，质量评价不满意，投诉经核实一次扣10分；</w:t>
            </w:r>
          </w:p>
        </w:tc>
        <w:tc>
          <w:tcPr>
            <w:tcW w:w="766" w:type="dxa"/>
            <w:noWrap w:val="0"/>
            <w:vAlign w:val="center"/>
          </w:tcPr>
          <w:p w14:paraId="67327DA7">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68ED2F5C">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26858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0" w:hRule="atLeast"/>
        </w:trPr>
        <w:tc>
          <w:tcPr>
            <w:tcW w:w="765" w:type="dxa"/>
            <w:vMerge w:val="continue"/>
            <w:noWrap w:val="0"/>
            <w:vAlign w:val="center"/>
          </w:tcPr>
          <w:p w14:paraId="7C00F750">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1B70D590">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4.安排的工作，无正当理由应服从工作分配、调动和指挥，每次不符扣10分；</w:t>
            </w:r>
          </w:p>
        </w:tc>
        <w:tc>
          <w:tcPr>
            <w:tcW w:w="766" w:type="dxa"/>
            <w:noWrap w:val="0"/>
            <w:vAlign w:val="center"/>
          </w:tcPr>
          <w:p w14:paraId="7BB516EA">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4B7C26D0">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5269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765" w:type="dxa"/>
            <w:vMerge w:val="continue"/>
            <w:noWrap w:val="0"/>
            <w:vAlign w:val="center"/>
          </w:tcPr>
          <w:p w14:paraId="76E5C4E5">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76A03C1A">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5.遵守院劳动纪律，每次不符扣</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w:t>
            </w:r>
          </w:p>
        </w:tc>
        <w:tc>
          <w:tcPr>
            <w:tcW w:w="766" w:type="dxa"/>
            <w:noWrap w:val="0"/>
            <w:vAlign w:val="center"/>
          </w:tcPr>
          <w:p w14:paraId="1D33E325">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39641960">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48DE6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9" w:hRule="atLeast"/>
        </w:trPr>
        <w:tc>
          <w:tcPr>
            <w:tcW w:w="765" w:type="dxa"/>
            <w:vMerge w:val="restart"/>
            <w:noWrap w:val="0"/>
            <w:vAlign w:val="center"/>
          </w:tcPr>
          <w:p w14:paraId="0462EDCE">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维护</w:t>
            </w:r>
          </w:p>
          <w:p w14:paraId="6F10CBAA">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工作</w:t>
            </w:r>
          </w:p>
          <w:p w14:paraId="22D72563">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w:t>
            </w:r>
          </w:p>
          <w:p w14:paraId="5C827700">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标准</w:t>
            </w:r>
          </w:p>
        </w:tc>
        <w:tc>
          <w:tcPr>
            <w:tcW w:w="6210" w:type="dxa"/>
            <w:gridSpan w:val="3"/>
            <w:noWrap w:val="0"/>
            <w:tcMar>
              <w:top w:w="0" w:type="dxa"/>
              <w:left w:w="57" w:type="dxa"/>
              <w:bottom w:w="0" w:type="dxa"/>
              <w:right w:w="57" w:type="dxa"/>
            </w:tcMar>
            <w:vAlign w:val="center"/>
          </w:tcPr>
          <w:p w14:paraId="7AA62E43">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1.维护人员主动向院方系统管理人员反馈维护情况，并</w:t>
            </w:r>
            <w:r>
              <w:rPr>
                <w:rFonts w:hint="eastAsia" w:ascii="宋体" w:hAnsi="宋体" w:cs="宋体"/>
                <w:color w:val="auto"/>
                <w:sz w:val="21"/>
                <w:szCs w:val="21"/>
                <w:highlight w:val="none"/>
                <w:lang w:val="en-US" w:eastAsia="zh-CN"/>
              </w:rPr>
              <w:t>按照合同要求</w:t>
            </w:r>
            <w:r>
              <w:rPr>
                <w:rFonts w:hint="eastAsia" w:ascii="宋体" w:hAnsi="宋体" w:eastAsia="宋体" w:cs="宋体"/>
                <w:color w:val="auto"/>
                <w:sz w:val="21"/>
                <w:szCs w:val="21"/>
                <w:highlight w:val="none"/>
                <w:lang w:val="en-US" w:eastAsia="zh-CN"/>
              </w:rPr>
              <w:t>提交维护记录表由管理人员签字确认，每次不符扣5分；</w:t>
            </w:r>
          </w:p>
        </w:tc>
        <w:tc>
          <w:tcPr>
            <w:tcW w:w="766" w:type="dxa"/>
            <w:noWrap w:val="0"/>
            <w:vAlign w:val="center"/>
          </w:tcPr>
          <w:p w14:paraId="369DBA07">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2B1CE6BC">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6AD91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3" w:hRule="atLeast"/>
        </w:trPr>
        <w:tc>
          <w:tcPr>
            <w:tcW w:w="765" w:type="dxa"/>
            <w:vMerge w:val="continue"/>
            <w:noWrap w:val="0"/>
            <w:vAlign w:val="center"/>
          </w:tcPr>
          <w:p w14:paraId="5FB58AEF">
            <w:pPr>
              <w:keepNext w:val="0"/>
              <w:keepLines w:val="0"/>
              <w:pageBreakBefore w:val="0"/>
              <w:widowControl w:val="0"/>
              <w:tabs>
                <w:tab w:val="left" w:pos="797"/>
              </w:tabs>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2D2CF23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2.维护记录台账建立，资料齐全，甲方</w:t>
            </w:r>
            <w:r>
              <w:rPr>
                <w:rFonts w:hint="eastAsia" w:ascii="宋体" w:hAnsi="宋体" w:cs="宋体"/>
                <w:color w:val="auto"/>
                <w:sz w:val="21"/>
                <w:szCs w:val="21"/>
                <w:highlight w:val="none"/>
                <w:lang w:val="en-US" w:eastAsia="zh-CN"/>
              </w:rPr>
              <w:t>季度</w:t>
            </w:r>
            <w:r>
              <w:rPr>
                <w:rFonts w:hint="eastAsia" w:ascii="宋体" w:hAnsi="宋体" w:eastAsia="宋体" w:cs="宋体"/>
                <w:color w:val="auto"/>
                <w:sz w:val="21"/>
                <w:szCs w:val="21"/>
                <w:highlight w:val="none"/>
                <w:lang w:val="en-US" w:eastAsia="zh-CN"/>
              </w:rPr>
              <w:t>检查或不定期抽查每次不符扣5分，甲方反馈的问题没有及时整改到位的扣5分；</w:t>
            </w:r>
          </w:p>
        </w:tc>
        <w:tc>
          <w:tcPr>
            <w:tcW w:w="766" w:type="dxa"/>
            <w:noWrap w:val="0"/>
            <w:vAlign w:val="center"/>
          </w:tcPr>
          <w:p w14:paraId="25D38A02">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64B23E90">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3535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9" w:hRule="atLeast"/>
        </w:trPr>
        <w:tc>
          <w:tcPr>
            <w:tcW w:w="765" w:type="dxa"/>
            <w:vMerge w:val="continue"/>
            <w:noWrap w:val="0"/>
            <w:vAlign w:val="top"/>
          </w:tcPr>
          <w:p w14:paraId="6428A2CC">
            <w:pPr>
              <w:keepNext w:val="0"/>
              <w:keepLines w:val="0"/>
              <w:pageBreakBefore w:val="0"/>
              <w:widowControl w:val="0"/>
              <w:numPr>
                <w:ilvl w:val="0"/>
                <w:numId w:val="2"/>
              </w:numPr>
              <w:tabs>
                <w:tab w:val="left" w:pos="1290"/>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3C603B4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工作时间内</w:t>
            </w:r>
            <w:r>
              <w:rPr>
                <w:rFonts w:hint="eastAsia" w:ascii="宋体" w:hAnsi="宋体" w:eastAsia="宋体" w:cs="宋体"/>
                <w:color w:val="auto"/>
                <w:sz w:val="21"/>
                <w:szCs w:val="21"/>
                <w:highlight w:val="none"/>
                <w:lang w:val="en-US" w:eastAsia="zh-CN"/>
              </w:rPr>
              <w:t>电话无人接听</w:t>
            </w:r>
            <w:r>
              <w:rPr>
                <w:rFonts w:hint="eastAsia" w:ascii="宋体" w:hAnsi="宋体" w:cs="宋体"/>
                <w:color w:val="auto"/>
                <w:sz w:val="21"/>
                <w:szCs w:val="21"/>
                <w:highlight w:val="none"/>
                <w:lang w:val="en-US" w:eastAsia="zh-CN"/>
              </w:rPr>
              <w:t>或微信不及时回应，</w:t>
            </w:r>
            <w:r>
              <w:rPr>
                <w:rFonts w:hint="eastAsia" w:ascii="宋体" w:hAnsi="宋体" w:eastAsia="宋体" w:cs="宋体"/>
                <w:color w:val="auto"/>
                <w:sz w:val="21"/>
                <w:szCs w:val="21"/>
                <w:highlight w:val="none"/>
                <w:lang w:val="en-US" w:eastAsia="zh-CN"/>
              </w:rPr>
              <w:t>1次扣2分（外出工作除外）；</w:t>
            </w:r>
          </w:p>
        </w:tc>
        <w:tc>
          <w:tcPr>
            <w:tcW w:w="766" w:type="dxa"/>
            <w:noWrap w:val="0"/>
            <w:vAlign w:val="center"/>
          </w:tcPr>
          <w:p w14:paraId="48C2DFC8">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759324ED">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1959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1" w:hRule="atLeast"/>
        </w:trPr>
        <w:tc>
          <w:tcPr>
            <w:tcW w:w="765" w:type="dxa"/>
            <w:vMerge w:val="continue"/>
            <w:noWrap w:val="0"/>
            <w:vAlign w:val="top"/>
          </w:tcPr>
          <w:p w14:paraId="179926A7">
            <w:pPr>
              <w:keepNext w:val="0"/>
              <w:keepLines w:val="0"/>
              <w:pageBreakBefore w:val="0"/>
              <w:widowControl w:val="0"/>
              <w:numPr>
                <w:ilvl w:val="0"/>
                <w:numId w:val="2"/>
              </w:numPr>
              <w:tabs>
                <w:tab w:val="left" w:pos="1290"/>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5B412748">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4.接到派工单或工作指令应立即赶赴现场</w:t>
            </w:r>
            <w:r>
              <w:rPr>
                <w:rFonts w:hint="eastAsia" w:ascii="宋体" w:hAnsi="宋体" w:cs="宋体"/>
                <w:color w:val="auto"/>
                <w:sz w:val="21"/>
                <w:szCs w:val="21"/>
                <w:highlight w:val="none"/>
                <w:lang w:val="en-US" w:eastAsia="zh-CN"/>
              </w:rPr>
              <w:t>或远程处理</w:t>
            </w:r>
            <w:r>
              <w:rPr>
                <w:rFonts w:hint="eastAsia" w:ascii="宋体" w:hAnsi="宋体" w:eastAsia="宋体" w:cs="宋体"/>
                <w:color w:val="auto"/>
                <w:sz w:val="21"/>
                <w:szCs w:val="21"/>
                <w:highlight w:val="none"/>
                <w:lang w:val="en-US" w:eastAsia="zh-CN"/>
              </w:rPr>
              <w:t>，未及时响应每次扣</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w:t>
            </w:r>
          </w:p>
        </w:tc>
        <w:tc>
          <w:tcPr>
            <w:tcW w:w="766" w:type="dxa"/>
            <w:noWrap w:val="0"/>
            <w:vAlign w:val="center"/>
          </w:tcPr>
          <w:p w14:paraId="0B6A8D4B">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656E8967">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6EDAC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6" w:hRule="atLeast"/>
        </w:trPr>
        <w:tc>
          <w:tcPr>
            <w:tcW w:w="765" w:type="dxa"/>
            <w:vMerge w:val="continue"/>
            <w:noWrap w:val="0"/>
            <w:vAlign w:val="top"/>
          </w:tcPr>
          <w:p w14:paraId="37E8E7E5">
            <w:pPr>
              <w:keepNext w:val="0"/>
              <w:keepLines w:val="0"/>
              <w:pageBreakBefore w:val="0"/>
              <w:widowControl w:val="0"/>
              <w:numPr>
                <w:ilvl w:val="0"/>
                <w:numId w:val="2"/>
              </w:numPr>
              <w:tabs>
                <w:tab w:val="left" w:pos="1290"/>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0EC95C58">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5.维护内容和要求不符合合同要求，未经甲方重新认可，每次扣5分；</w:t>
            </w:r>
          </w:p>
        </w:tc>
        <w:tc>
          <w:tcPr>
            <w:tcW w:w="766" w:type="dxa"/>
            <w:noWrap w:val="0"/>
            <w:vAlign w:val="center"/>
          </w:tcPr>
          <w:p w14:paraId="40F0CC0E">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65001012">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7F83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765" w:type="dxa"/>
            <w:vMerge w:val="continue"/>
            <w:noWrap w:val="0"/>
            <w:vAlign w:val="top"/>
          </w:tcPr>
          <w:p w14:paraId="1EA70A40">
            <w:pPr>
              <w:keepNext w:val="0"/>
              <w:keepLines w:val="0"/>
              <w:pageBreakBefore w:val="0"/>
              <w:widowControl w:val="0"/>
              <w:numPr>
                <w:ilvl w:val="0"/>
                <w:numId w:val="2"/>
              </w:numPr>
              <w:tabs>
                <w:tab w:val="left" w:pos="1290"/>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6C24BD47">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6.更换维护人员未得到甲方确认的，每次扣5分；</w:t>
            </w:r>
          </w:p>
        </w:tc>
        <w:tc>
          <w:tcPr>
            <w:tcW w:w="766" w:type="dxa"/>
            <w:noWrap w:val="0"/>
            <w:vAlign w:val="center"/>
          </w:tcPr>
          <w:p w14:paraId="4E0B8EB0">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12D200C9">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7F282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0" w:hRule="atLeast"/>
        </w:trPr>
        <w:tc>
          <w:tcPr>
            <w:tcW w:w="765" w:type="dxa"/>
            <w:vMerge w:val="continue"/>
            <w:noWrap w:val="0"/>
            <w:vAlign w:val="top"/>
          </w:tcPr>
          <w:p w14:paraId="44E4D1DC">
            <w:pPr>
              <w:keepNext w:val="0"/>
              <w:keepLines w:val="0"/>
              <w:pageBreakBefore w:val="0"/>
              <w:widowControl w:val="0"/>
              <w:numPr>
                <w:ilvl w:val="0"/>
                <w:numId w:val="2"/>
              </w:numPr>
              <w:tabs>
                <w:tab w:val="left" w:pos="1290"/>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4A6C9A5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7.因乙方维护不当或乙方原因导致医院较大范围业务中断，每次扣10分。</w:t>
            </w:r>
          </w:p>
        </w:tc>
        <w:tc>
          <w:tcPr>
            <w:tcW w:w="766" w:type="dxa"/>
            <w:noWrap w:val="0"/>
            <w:vAlign w:val="center"/>
          </w:tcPr>
          <w:p w14:paraId="54C06387">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6C8A8A03">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5555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0" w:hRule="atLeast"/>
        </w:trPr>
        <w:tc>
          <w:tcPr>
            <w:tcW w:w="765" w:type="dxa"/>
            <w:vMerge w:val="continue"/>
            <w:noWrap w:val="0"/>
            <w:vAlign w:val="top"/>
          </w:tcPr>
          <w:p w14:paraId="4D354087">
            <w:pPr>
              <w:keepNext w:val="0"/>
              <w:keepLines w:val="0"/>
              <w:pageBreakBefore w:val="0"/>
              <w:widowControl w:val="0"/>
              <w:numPr>
                <w:ilvl w:val="0"/>
                <w:numId w:val="2"/>
              </w:numPr>
              <w:tabs>
                <w:tab w:val="left" w:pos="1290"/>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74767F3F">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8.因乙方维护不当或因乙方原因造成重大事故或重大安全事故隐患，每次扣20分。</w:t>
            </w:r>
          </w:p>
        </w:tc>
        <w:tc>
          <w:tcPr>
            <w:tcW w:w="766" w:type="dxa"/>
            <w:noWrap w:val="0"/>
            <w:vAlign w:val="center"/>
          </w:tcPr>
          <w:p w14:paraId="5174A595">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p w14:paraId="2322DF53">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28884F84">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64E5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rPr>
        <w:tc>
          <w:tcPr>
            <w:tcW w:w="3113" w:type="dxa"/>
            <w:gridSpan w:val="2"/>
            <w:noWrap w:val="0"/>
            <w:tcMar>
              <w:top w:w="0" w:type="dxa"/>
              <w:left w:w="57" w:type="dxa"/>
              <w:bottom w:w="0" w:type="dxa"/>
              <w:right w:w="57" w:type="dxa"/>
            </w:tcMar>
            <w:vAlign w:val="top"/>
          </w:tcPr>
          <w:p w14:paraId="19808297">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考核总得分：</w:t>
            </w:r>
          </w:p>
        </w:tc>
        <w:tc>
          <w:tcPr>
            <w:tcW w:w="2310" w:type="dxa"/>
            <w:noWrap w:val="0"/>
            <w:tcMar>
              <w:top w:w="0" w:type="dxa"/>
              <w:left w:w="57" w:type="dxa"/>
              <w:bottom w:w="0" w:type="dxa"/>
              <w:right w:w="57" w:type="dxa"/>
            </w:tcMar>
            <w:vAlign w:val="top"/>
          </w:tcPr>
          <w:p w14:paraId="1D766D0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考核人：</w:t>
            </w:r>
          </w:p>
        </w:tc>
        <w:tc>
          <w:tcPr>
            <w:tcW w:w="3416" w:type="dxa"/>
            <w:gridSpan w:val="3"/>
            <w:noWrap w:val="0"/>
            <w:tcMar>
              <w:top w:w="0" w:type="dxa"/>
              <w:left w:w="57" w:type="dxa"/>
              <w:bottom w:w="0" w:type="dxa"/>
              <w:right w:w="57" w:type="dxa"/>
            </w:tcMar>
            <w:vAlign w:val="top"/>
          </w:tcPr>
          <w:p w14:paraId="683C60B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维护单位签字确认：</w:t>
            </w:r>
          </w:p>
        </w:tc>
      </w:tr>
      <w:tr w14:paraId="6F843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trPr>
        <w:tc>
          <w:tcPr>
            <w:tcW w:w="765" w:type="dxa"/>
            <w:noWrap w:val="0"/>
            <w:vAlign w:val="center"/>
          </w:tcPr>
          <w:p w14:paraId="672C5688">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意见：</w:t>
            </w:r>
          </w:p>
        </w:tc>
        <w:tc>
          <w:tcPr>
            <w:tcW w:w="8074" w:type="dxa"/>
            <w:gridSpan w:val="5"/>
            <w:noWrap w:val="0"/>
            <w:vAlign w:val="top"/>
          </w:tcPr>
          <w:p w14:paraId="123701C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p>
          <w:p w14:paraId="527D37F3">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p>
        </w:tc>
      </w:tr>
      <w:tr w14:paraId="46AD6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5" w:hRule="atLeast"/>
        </w:trPr>
        <w:tc>
          <w:tcPr>
            <w:tcW w:w="8839" w:type="dxa"/>
            <w:gridSpan w:val="6"/>
            <w:noWrap w:val="0"/>
            <w:tcMar>
              <w:top w:w="0" w:type="dxa"/>
              <w:left w:w="57" w:type="dxa"/>
              <w:bottom w:w="0" w:type="dxa"/>
              <w:right w:w="57" w:type="dxa"/>
            </w:tcMar>
            <w:vAlign w:val="top"/>
          </w:tcPr>
          <w:p w14:paraId="2777DA97">
            <w:pPr>
              <w:tabs>
                <w:tab w:val="left" w:pos="643"/>
              </w:tabs>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p>
          <w:p w14:paraId="492C6305">
            <w:pPr>
              <w:tabs>
                <w:tab w:val="left" w:pos="643"/>
              </w:tabs>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考核满分为100分。得分 ≥ </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0分，视为合格</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最终考核得分与尾款支付比例如下：</w:t>
            </w:r>
          </w:p>
          <w:p w14:paraId="2610321C">
            <w:pPr>
              <w:tabs>
                <w:tab w:val="left" w:pos="643"/>
              </w:tabs>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（1）得分 ≥ 90分，</w:t>
            </w:r>
            <w:r>
              <w:rPr>
                <w:rFonts w:hint="eastAsia" w:ascii="宋体" w:hAnsi="宋体" w:cs="宋体"/>
                <w:color w:val="auto"/>
                <w:sz w:val="21"/>
                <w:szCs w:val="21"/>
                <w:highlight w:val="none"/>
                <w:lang w:val="en-US" w:eastAsia="zh-CN"/>
              </w:rPr>
              <w:t>全额支付尾款</w:t>
            </w:r>
            <w:r>
              <w:rPr>
                <w:rFonts w:hint="eastAsia" w:ascii="宋体" w:hAnsi="宋体" w:eastAsia="宋体" w:cs="宋体"/>
                <w:color w:val="auto"/>
                <w:sz w:val="21"/>
                <w:szCs w:val="21"/>
                <w:highlight w:val="none"/>
                <w:lang w:val="en-US" w:eastAsia="zh-CN"/>
              </w:rPr>
              <w:t>；</w:t>
            </w:r>
          </w:p>
          <w:p w14:paraId="1E1DF146">
            <w:pPr>
              <w:tabs>
                <w:tab w:val="left" w:pos="643"/>
              </w:tabs>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（2）80分 ≤ 得分 &lt; 90分，</w:t>
            </w:r>
            <w:r>
              <w:rPr>
                <w:rFonts w:hint="eastAsia" w:ascii="宋体" w:hAnsi="宋体" w:cs="宋体"/>
                <w:color w:val="auto"/>
                <w:sz w:val="21"/>
                <w:szCs w:val="21"/>
                <w:highlight w:val="none"/>
                <w:lang w:val="en-US" w:eastAsia="zh-CN"/>
              </w:rPr>
              <w:t>支付尾款时</w:t>
            </w:r>
            <w:r>
              <w:rPr>
                <w:rFonts w:hint="eastAsia" w:ascii="宋体" w:hAnsi="宋体" w:eastAsia="宋体" w:cs="宋体"/>
                <w:color w:val="auto"/>
                <w:sz w:val="21"/>
                <w:szCs w:val="21"/>
                <w:highlight w:val="none"/>
                <w:lang w:val="en-US" w:eastAsia="zh-CN"/>
              </w:rPr>
              <w:t>扣除合同总价的</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0%；</w:t>
            </w:r>
          </w:p>
          <w:p w14:paraId="3CB85208">
            <w:pPr>
              <w:tabs>
                <w:tab w:val="left" w:pos="643"/>
              </w:tabs>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（3）得分 &lt; 80分，视为不合格</w:t>
            </w:r>
            <w:r>
              <w:rPr>
                <w:rFonts w:hint="eastAsia" w:ascii="宋体" w:hAnsi="宋体" w:cs="宋体"/>
                <w:color w:val="auto"/>
                <w:sz w:val="21"/>
                <w:szCs w:val="21"/>
                <w:highlight w:val="none"/>
                <w:lang w:val="en-US" w:eastAsia="zh-CN"/>
              </w:rPr>
              <w:t>，支付尾款时</w:t>
            </w:r>
            <w:r>
              <w:rPr>
                <w:rFonts w:hint="eastAsia" w:ascii="宋体" w:hAnsi="宋体" w:eastAsia="宋体" w:cs="宋体"/>
                <w:color w:val="auto"/>
                <w:sz w:val="21"/>
                <w:szCs w:val="21"/>
                <w:highlight w:val="none"/>
                <w:lang w:val="en-US" w:eastAsia="zh-CN"/>
              </w:rPr>
              <w:t>扣除合同总价的</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0%</w:t>
            </w:r>
            <w:r>
              <w:rPr>
                <w:rFonts w:hint="eastAsia" w:ascii="宋体" w:hAnsi="宋体" w:cs="宋体"/>
                <w:color w:val="auto"/>
                <w:sz w:val="21"/>
                <w:szCs w:val="21"/>
                <w:highlight w:val="none"/>
                <w:lang w:val="en-US" w:eastAsia="zh-CN"/>
              </w:rPr>
              <w:t>，且不续签下一年度合同</w:t>
            </w:r>
            <w:r>
              <w:rPr>
                <w:rFonts w:hint="eastAsia" w:ascii="宋体" w:hAnsi="宋体" w:eastAsia="宋体" w:cs="宋体"/>
                <w:color w:val="auto"/>
                <w:sz w:val="21"/>
                <w:szCs w:val="21"/>
                <w:highlight w:val="none"/>
                <w:lang w:val="en-US" w:eastAsia="zh-CN"/>
              </w:rPr>
              <w:t>。</w:t>
            </w:r>
          </w:p>
        </w:tc>
      </w:tr>
    </w:tbl>
    <w:p w14:paraId="0CAF47D5">
      <w:pPr>
        <w:pStyle w:val="4"/>
        <w:rPr>
          <w:rFonts w:hint="eastAsia"/>
        </w:rPr>
      </w:pPr>
    </w:p>
    <w:p w14:paraId="20427358">
      <w:pPr>
        <w:rPr>
          <w:rFonts w:hint="eastAsia" w:ascii="仿宋" w:hAnsi="仿宋" w:eastAsia="仿宋" w:cs="仿宋"/>
          <w:color w:val="auto"/>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CA51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A03276">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6A03276">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tabs>
          <w:tab w:val="left" w:pos="780"/>
        </w:tabs>
        <w:ind w:left="780" w:hanging="420"/>
      </w:p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
    <w:nsid w:val="00000006"/>
    <w:multiLevelType w:val="multilevel"/>
    <w:tmpl w:val="00000006"/>
    <w:lvl w:ilvl="0" w:tentative="0">
      <w:start w:val="1"/>
      <w:numFmt w:val="decimal"/>
      <w:lvlText w:val="%1."/>
      <w:lvlJc w:val="left"/>
      <w:pPr>
        <w:tabs>
          <w:tab w:val="left" w:pos="780"/>
        </w:tabs>
        <w:ind w:left="78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BA434A"/>
    <w:rsid w:val="0559198D"/>
    <w:rsid w:val="10FD673E"/>
    <w:rsid w:val="190F63C6"/>
    <w:rsid w:val="30FB3803"/>
    <w:rsid w:val="3BB85353"/>
    <w:rsid w:val="6E0D283D"/>
    <w:rsid w:val="6EBA43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2"/>
    <w:pPr>
      <w:keepNext/>
      <w:autoSpaceDE w:val="0"/>
      <w:autoSpaceDN w:val="0"/>
      <w:adjustRightInd w:val="0"/>
      <w:jc w:val="left"/>
      <w:outlineLvl w:val="0"/>
    </w:pPr>
    <w:rPr>
      <w:rFonts w:ascii="仿宋_GB2312" w:eastAsia="仿宋_GB2312"/>
      <w:b/>
      <w:bCs/>
      <w:color w:val="000000"/>
      <w:kern w:val="0"/>
      <w:sz w:val="20"/>
      <w:szCs w:val="20"/>
    </w:rPr>
  </w:style>
  <w:style w:type="character" w:default="1" w:styleId="8">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4"/>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31"/>
      <w:szCs w:val="31"/>
      <w:lang w:eastAsia="en-US"/>
    </w:rPr>
  </w:style>
  <w:style w:type="paragraph" w:styleId="4">
    <w:name w:val="Body Text First Indent"/>
    <w:basedOn w:val="3"/>
    <w:unhideWhenUsed/>
    <w:qFormat/>
    <w:uiPriority w:val="99"/>
    <w:pPr>
      <w:ind w:firstLine="420" w:firstLineChars="100"/>
    </w:pPr>
    <w:rPr>
      <w:kern w:val="0"/>
      <w:sz w:val="20"/>
    </w:rPr>
  </w:style>
  <w:style w:type="paragraph" w:styleId="5">
    <w:name w:val="Plain Text"/>
    <w:basedOn w:val="1"/>
    <w:unhideWhenUsed/>
    <w:qFormat/>
    <w:uiPriority w:val="99"/>
    <w:rPr>
      <w:rFonts w:ascii="宋体" w:hAnsi="Courier New" w:cs="Courier New"/>
    </w:rPr>
  </w:style>
  <w:style w:type="paragraph" w:styleId="6">
    <w:name w:val="footer"/>
    <w:basedOn w:val="1"/>
    <w:unhideWhenUsed/>
    <w:qFormat/>
    <w:uiPriority w:val="99"/>
    <w:pPr>
      <w:tabs>
        <w:tab w:val="center" w:pos="4153"/>
        <w:tab w:val="right" w:pos="8306"/>
      </w:tabs>
      <w:snapToGrid w:val="0"/>
      <w:jc w:val="left"/>
    </w:pPr>
    <w:rPr>
      <w:sz w:val="18"/>
      <w:szCs w:val="18"/>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2523</Words>
  <Characters>2583</Characters>
  <Lines>0</Lines>
  <Paragraphs>0</Paragraphs>
  <TotalTime>0</TotalTime>
  <ScaleCrop>false</ScaleCrop>
  <LinksUpToDate>false</LinksUpToDate>
  <CharactersWithSpaces>2601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2025-11-08T13:12:00Z</dcterms:created>
  <dc:creator>jsdn8</dc:creator>
  <cp:lastModifiedBy>孔萱</cp:lastModifiedBy>
  <dcterms:modified xsi:type="dcterms:W3CDTF">2026-07-02T09:08:52Z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C5087222F76F4AB5A36E49E57DCE7C7D_13</vt:lpwstr>
  </property>
  <property fmtid="{D5CDD505-2E9C-101B-9397-08002B2CF9AE}" pid="4" name="KSOTemplateDocerSaveRecord">
    <vt:lpwstr>eyJoZGlkIjoiMzY3OTY0MGE0NDAxOWQzMGFhZDUzMmJiODY0MmUwODciLCJ1c2VySWQiOiIxNTUxOTEyMjQ1In0=</vt:lpwstr>
  </property>
</Properties>
</file>