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42EF12">
      <w:pPr>
        <w:jc w:val="center"/>
        <w:rPr>
          <w:rFonts w:hint="eastAsia" w:ascii="仿宋" w:hAnsi="仿宋" w:eastAsia="仿宋" w:cs="仿宋"/>
          <w:b/>
          <w:bCs/>
          <w:color w:val="auto"/>
          <w:sz w:val="32"/>
          <w:szCs w:val="32"/>
          <w:lang w:eastAsia="zh-CN"/>
        </w:rPr>
      </w:pPr>
      <w:r>
        <w:rPr>
          <w:rFonts w:hint="eastAsia" w:ascii="仿宋" w:hAnsi="仿宋" w:eastAsia="仿宋" w:cs="仿宋"/>
          <w:b/>
          <w:bCs/>
          <w:color w:val="auto"/>
          <w:sz w:val="32"/>
          <w:szCs w:val="32"/>
          <w:lang w:val="en-US" w:eastAsia="zh-CN"/>
        </w:rPr>
        <w:t>医学在线考试系统维护服务项目</w:t>
      </w:r>
      <w:r>
        <w:rPr>
          <w:rFonts w:hint="eastAsia" w:ascii="仿宋" w:hAnsi="仿宋" w:eastAsia="仿宋" w:cs="仿宋"/>
          <w:b/>
          <w:bCs/>
          <w:color w:val="auto"/>
          <w:sz w:val="32"/>
          <w:szCs w:val="32"/>
          <w:lang w:eastAsia="zh-CN"/>
        </w:rPr>
        <w:t>需求</w:t>
      </w:r>
    </w:p>
    <w:p w14:paraId="4B6CECC7">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val="en-US" w:eastAsia="zh-CN"/>
        </w:rPr>
        <w:t>（一）建设目标</w:t>
      </w:r>
    </w:p>
    <w:p w14:paraId="3C47C4F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为采购人提供</w:t>
      </w:r>
      <w:r>
        <w:rPr>
          <w:rFonts w:hint="eastAsia" w:ascii="宋体" w:hAnsi="宋体" w:eastAsia="宋体" w:cs="宋体"/>
          <w:color w:val="auto"/>
          <w:sz w:val="24"/>
          <w:szCs w:val="24"/>
          <w:highlight w:val="none"/>
          <w:lang w:val="en-US" w:eastAsia="zh-CN"/>
        </w:rPr>
        <w:t>医学在线考试系统升级（简称考试系统，型号V2.5）</w:t>
      </w:r>
      <w:r>
        <w:rPr>
          <w:rFonts w:hint="eastAsia" w:ascii="宋体" w:hAnsi="宋体" w:eastAsia="宋体" w:cs="宋体"/>
          <w:color w:val="auto"/>
          <w:sz w:val="24"/>
          <w:szCs w:val="24"/>
          <w:lang w:val="en-US" w:eastAsia="zh-CN"/>
        </w:rPr>
        <w:t>系统系统基础日常维护及系统优化服务，并定期回访、提供运维记录等服务。保障本项技术软件系统正常运行与使用。</w:t>
      </w:r>
    </w:p>
    <w:p w14:paraId="6B4C487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供应商需具有提供本院同版本系统维保服务的能力，即具备对医院</w:t>
      </w:r>
      <w:r>
        <w:rPr>
          <w:rFonts w:hint="eastAsia" w:ascii="宋体" w:hAnsi="宋体" w:eastAsia="宋体" w:cs="宋体"/>
          <w:color w:val="auto"/>
          <w:sz w:val="24"/>
          <w:szCs w:val="24"/>
          <w:highlight w:val="none"/>
          <w:lang w:val="en-US" w:eastAsia="zh-CN"/>
        </w:rPr>
        <w:t>医学在线考试系统升级（简称考试系统，型号V2.5）</w:t>
      </w:r>
      <w:r>
        <w:rPr>
          <w:rFonts w:hint="eastAsia" w:ascii="宋体" w:hAnsi="宋体" w:eastAsia="宋体" w:cs="宋体"/>
          <w:color w:val="auto"/>
          <w:sz w:val="24"/>
          <w:szCs w:val="24"/>
          <w:lang w:val="en-US" w:eastAsia="zh-CN"/>
        </w:rPr>
        <w:t>系统的维护能力，可提供如相关授权、历史服务项目案例等材料。供应商应当保证给采购人的本项目技术服务是供应商本项目软件产品最成熟、稳定的维护服务。</w:t>
      </w:r>
    </w:p>
    <w:p w14:paraId="70ADF830">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val="en-US" w:eastAsia="zh-CN"/>
        </w:rPr>
        <w:t>（二）服务内容</w:t>
      </w:r>
    </w:p>
    <w:p w14:paraId="2E71070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color w:val="auto"/>
          <w:sz w:val="24"/>
          <w:szCs w:val="24"/>
          <w:lang w:val="en-US" w:eastAsia="zh-CN"/>
        </w:rPr>
      </w:pPr>
      <w:bookmarkStart w:id="0" w:name="_GoBack"/>
      <w:r>
        <w:rPr>
          <w:rFonts w:hint="eastAsia" w:ascii="宋体" w:hAnsi="宋体" w:eastAsia="宋体" w:cs="宋体"/>
          <w:color w:val="auto"/>
          <w:sz w:val="24"/>
          <w:szCs w:val="24"/>
          <w:lang w:val="en-US" w:eastAsia="zh-CN"/>
        </w:rPr>
        <w:t>1.每季度进行数据库优化调校,优化医院信息系统数据库，提高系统运行效率，确保数据来源正确。</w:t>
      </w:r>
    </w:p>
    <w:p w14:paraId="5C891AC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2.每季度进行系统的例行更新、对系统功能优化、软件模块功能修订等。</w:t>
      </w:r>
    </w:p>
    <w:p w14:paraId="7C18EC04">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3.每季度进行系统的效能调整，确保系统运行速度。</w:t>
      </w:r>
    </w:p>
    <w:p w14:paraId="194B4FE4">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4.医院院感相关政策调整时的咨询与相应调整服务。</w:t>
      </w:r>
    </w:p>
    <w:p w14:paraId="3DAF59B6">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5.科室意见反馈的咨询管理服务。</w:t>
      </w:r>
    </w:p>
    <w:p w14:paraId="46812DE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6.提供该系统的咨询管理服务。</w:t>
      </w:r>
    </w:p>
    <w:p w14:paraId="09E5EAF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7.提供电话技术支持及远端遥控支持。</w:t>
      </w:r>
    </w:p>
    <w:p w14:paraId="342B2AD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8.提供系统的升级版本（提供对该运行中的系统于功能上出现的错误进行修正更新，并对该系统运行效率进行优化更新，确保系统稳定运行）。</w:t>
      </w:r>
    </w:p>
    <w:p w14:paraId="7556E60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9.系统如发生问题，供应商首先采用电话技术支持及远端遥控支持。远程无法处理的问题，供应商技术人员应于4小时内派员到达现场解决并排除故障。</w:t>
      </w:r>
    </w:p>
    <w:p w14:paraId="593EB8EF">
      <w:pPr>
        <w:overflowPunct w:val="0"/>
        <w:autoSpaceDE w:val="0"/>
        <w:autoSpaceDN w:val="0"/>
        <w:spacing w:line="440" w:lineRule="exact"/>
        <w:ind w:firstLine="440" w:firstLineChars="200"/>
        <w:jc w:val="left"/>
        <w:rPr>
          <w:rFonts w:hint="eastAsia" w:ascii="宋体" w:hAnsi="宋体" w:cs="宋体"/>
          <w:color w:val="auto"/>
          <w:sz w:val="22"/>
          <w:szCs w:val="22"/>
        </w:rPr>
      </w:pPr>
      <w:r>
        <w:rPr>
          <w:rFonts w:hint="eastAsia" w:ascii="宋体" w:hAnsi="宋体" w:cs="宋体"/>
          <w:color w:val="auto"/>
          <w:sz w:val="22"/>
          <w:szCs w:val="22"/>
          <w:lang w:val="en-US" w:eastAsia="zh-CN"/>
        </w:rPr>
        <w:t>10.</w:t>
      </w:r>
      <w:r>
        <w:rPr>
          <w:rFonts w:hint="eastAsia" w:ascii="宋体" w:hAnsi="宋体" w:cs="宋体"/>
          <w:color w:val="auto"/>
          <w:sz w:val="22"/>
          <w:szCs w:val="22"/>
        </w:rPr>
        <w:t>对以上系统模块常规维护 。考试系统须包含教师PCWeb端、考生PC端(Web端、客户端)、考生移动端。</w:t>
      </w:r>
    </w:p>
    <w:p w14:paraId="0F98DF20">
      <w:pPr>
        <w:overflowPunct w:val="0"/>
        <w:autoSpaceDE w:val="0"/>
        <w:autoSpaceDN w:val="0"/>
        <w:spacing w:line="440" w:lineRule="exact"/>
        <w:ind w:firstLine="440" w:firstLineChars="200"/>
        <w:jc w:val="left"/>
        <w:rPr>
          <w:rFonts w:hint="eastAsia" w:ascii="宋体" w:hAnsi="宋体" w:cs="宋体"/>
          <w:color w:val="auto"/>
          <w:sz w:val="22"/>
          <w:szCs w:val="22"/>
        </w:rPr>
      </w:pPr>
      <w:r>
        <w:rPr>
          <w:rFonts w:hint="eastAsia" w:ascii="宋体" w:hAnsi="宋体" w:cs="宋体"/>
          <w:color w:val="auto"/>
          <w:sz w:val="22"/>
          <w:szCs w:val="22"/>
        </w:rPr>
        <w:t>1</w:t>
      </w:r>
      <w:r>
        <w:rPr>
          <w:rFonts w:hint="eastAsia" w:ascii="宋体" w:hAnsi="宋体" w:cs="宋体"/>
          <w:color w:val="auto"/>
          <w:sz w:val="22"/>
          <w:szCs w:val="22"/>
          <w:lang w:val="en-US" w:eastAsia="zh-CN"/>
        </w:rPr>
        <w:t>1.</w:t>
      </w:r>
      <w:r>
        <w:rPr>
          <w:rFonts w:hint="eastAsia" w:ascii="宋体" w:hAnsi="宋体" w:cs="宋体"/>
          <w:color w:val="auto"/>
          <w:sz w:val="22"/>
          <w:szCs w:val="22"/>
        </w:rPr>
        <w:t>教师PCWeb端</w:t>
      </w:r>
      <w:r>
        <w:rPr>
          <w:rFonts w:hint="eastAsia" w:ascii="宋体" w:hAnsi="宋体" w:cs="宋体"/>
          <w:color w:val="auto"/>
          <w:sz w:val="22"/>
          <w:szCs w:val="22"/>
          <w:lang w:val="en-US" w:eastAsia="zh-CN"/>
        </w:rPr>
        <w:t>维护</w:t>
      </w:r>
      <w:r>
        <w:rPr>
          <w:rFonts w:hint="eastAsia" w:ascii="宋体" w:hAnsi="宋体" w:cs="宋体"/>
          <w:color w:val="auto"/>
          <w:sz w:val="22"/>
          <w:szCs w:val="22"/>
        </w:rPr>
        <w:t>须包含题库管理、考试管理、成绩管理、用户管理、角色管理、部门管理等功能模</w:t>
      </w:r>
      <w:r>
        <w:rPr>
          <w:rFonts w:hint="eastAsia" w:ascii="宋体" w:hAnsi="宋体" w:cs="宋体"/>
          <w:color w:val="auto"/>
          <w:sz w:val="22"/>
          <w:szCs w:val="22"/>
          <w:lang w:val="en-US" w:eastAsia="zh-CN"/>
        </w:rPr>
        <w:t>的维护</w:t>
      </w:r>
      <w:r>
        <w:rPr>
          <w:rFonts w:hint="eastAsia" w:ascii="宋体" w:hAnsi="宋体" w:cs="宋体"/>
          <w:color w:val="auto"/>
          <w:sz w:val="22"/>
          <w:szCs w:val="22"/>
        </w:rPr>
        <w:t>。</w:t>
      </w:r>
    </w:p>
    <w:p w14:paraId="7E80B584">
      <w:pPr>
        <w:overflowPunct w:val="0"/>
        <w:autoSpaceDE w:val="0"/>
        <w:autoSpaceDN w:val="0"/>
        <w:spacing w:line="440" w:lineRule="exact"/>
        <w:ind w:firstLine="440" w:firstLineChars="200"/>
        <w:jc w:val="left"/>
        <w:rPr>
          <w:rFonts w:hint="eastAsia" w:ascii="宋体" w:hAnsi="宋体" w:cs="宋体"/>
          <w:color w:val="auto"/>
          <w:sz w:val="22"/>
          <w:szCs w:val="22"/>
        </w:rPr>
      </w:pPr>
      <w:r>
        <w:rPr>
          <w:rFonts w:hint="eastAsia" w:ascii="宋体" w:hAnsi="宋体" w:cs="宋体"/>
          <w:color w:val="auto"/>
          <w:sz w:val="22"/>
          <w:szCs w:val="22"/>
          <w:lang w:val="en-US" w:eastAsia="zh-CN"/>
        </w:rPr>
        <w:t>12.</w:t>
      </w:r>
      <w:r>
        <w:rPr>
          <w:rFonts w:hint="eastAsia" w:ascii="宋体" w:hAnsi="宋体" w:cs="宋体"/>
          <w:color w:val="auto"/>
          <w:sz w:val="22"/>
          <w:szCs w:val="22"/>
        </w:rPr>
        <w:t>考生移动端须包含正式考试、考试码考试、能力测评、考试记录、我的错题、我的笔记、我的收藏等功能模</w:t>
      </w:r>
      <w:r>
        <w:rPr>
          <w:rFonts w:hint="eastAsia" w:ascii="宋体" w:hAnsi="宋体" w:cs="宋体"/>
          <w:color w:val="auto"/>
          <w:sz w:val="22"/>
          <w:szCs w:val="22"/>
          <w:lang w:val="en-US" w:eastAsia="zh-CN"/>
        </w:rPr>
        <w:t>的正常使用</w:t>
      </w:r>
      <w:r>
        <w:rPr>
          <w:rFonts w:hint="eastAsia" w:ascii="宋体" w:hAnsi="宋体" w:cs="宋体"/>
          <w:color w:val="auto"/>
          <w:sz w:val="22"/>
          <w:szCs w:val="22"/>
        </w:rPr>
        <w:t>系统及自建题库练习等功能模块</w:t>
      </w:r>
      <w:r>
        <w:rPr>
          <w:rFonts w:hint="eastAsia" w:ascii="宋体" w:hAnsi="宋体" w:cs="宋体"/>
          <w:color w:val="auto"/>
          <w:sz w:val="22"/>
          <w:szCs w:val="22"/>
          <w:lang w:val="en-US" w:eastAsia="zh-CN"/>
        </w:rPr>
        <w:t>维护</w:t>
      </w:r>
      <w:r>
        <w:rPr>
          <w:rFonts w:hint="eastAsia" w:ascii="宋体" w:hAnsi="宋体" w:cs="宋体"/>
          <w:color w:val="auto"/>
          <w:sz w:val="22"/>
          <w:szCs w:val="22"/>
        </w:rPr>
        <w:t>。</w:t>
      </w:r>
    </w:p>
    <w:p w14:paraId="07A2D909">
      <w:pPr>
        <w:overflowPunct w:val="0"/>
        <w:autoSpaceDE w:val="0"/>
        <w:autoSpaceDN w:val="0"/>
        <w:spacing w:line="440" w:lineRule="exact"/>
        <w:ind w:firstLine="440" w:firstLineChars="200"/>
        <w:jc w:val="left"/>
        <w:rPr>
          <w:rFonts w:ascii="宋体" w:hAnsi="宋体" w:cs="宋体"/>
          <w:color w:val="auto"/>
          <w:sz w:val="22"/>
          <w:szCs w:val="22"/>
        </w:rPr>
      </w:pPr>
      <w:r>
        <w:rPr>
          <w:rFonts w:hint="eastAsia" w:ascii="宋体" w:hAnsi="宋体" w:cs="宋体"/>
          <w:color w:val="auto"/>
          <w:sz w:val="22"/>
          <w:szCs w:val="22"/>
          <w:lang w:val="en-US" w:eastAsia="zh-CN"/>
        </w:rPr>
        <w:t>13.</w:t>
      </w:r>
      <w:r>
        <w:rPr>
          <w:rFonts w:hint="eastAsia" w:ascii="宋体" w:hAnsi="宋体" w:cs="宋体"/>
          <w:color w:val="auto"/>
          <w:sz w:val="22"/>
          <w:szCs w:val="22"/>
        </w:rPr>
        <w:t>考生PC端须包含统计中心、我的考试、考试记录、系统题库练习、自建题库练习、我的错题、我等功能模</w:t>
      </w:r>
      <w:r>
        <w:rPr>
          <w:rFonts w:hint="eastAsia" w:ascii="宋体" w:hAnsi="宋体" w:cs="宋体"/>
          <w:color w:val="auto"/>
          <w:sz w:val="22"/>
          <w:szCs w:val="22"/>
          <w:lang w:val="en-US" w:eastAsia="zh-CN"/>
        </w:rPr>
        <w:t>的正常使用</w:t>
      </w:r>
      <w:r>
        <w:rPr>
          <w:rFonts w:hint="eastAsia" w:ascii="宋体" w:hAnsi="宋体" w:cs="宋体"/>
          <w:color w:val="auto"/>
          <w:sz w:val="22"/>
          <w:szCs w:val="22"/>
        </w:rPr>
        <w:t>的收藏、我的纠错、我的笔记等功能模块</w:t>
      </w:r>
      <w:r>
        <w:rPr>
          <w:rFonts w:hint="eastAsia" w:ascii="宋体" w:hAnsi="宋体" w:cs="宋体"/>
          <w:color w:val="auto"/>
          <w:sz w:val="22"/>
          <w:szCs w:val="22"/>
          <w:lang w:val="en-US" w:eastAsia="zh-CN"/>
        </w:rPr>
        <w:t>的维护</w:t>
      </w:r>
      <w:r>
        <w:rPr>
          <w:rFonts w:hint="eastAsia" w:ascii="宋体" w:hAnsi="宋体" w:cs="宋体"/>
          <w:color w:val="auto"/>
          <w:sz w:val="22"/>
          <w:szCs w:val="22"/>
        </w:rPr>
        <w:t>。</w:t>
      </w:r>
    </w:p>
    <w:bookmarkEnd w:id="0"/>
    <w:p w14:paraId="2A932014">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color w:val="auto"/>
          <w:sz w:val="24"/>
          <w:szCs w:val="24"/>
          <w:highlight w:val="none"/>
          <w:lang w:val="en-US" w:eastAsia="zh-CN"/>
        </w:rPr>
      </w:pPr>
    </w:p>
    <w:p w14:paraId="740CE817">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（三）技术要求</w:t>
      </w:r>
    </w:p>
    <w:p w14:paraId="6D9F6C2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3.1技术支持方式</w:t>
      </w:r>
    </w:p>
    <w:p w14:paraId="69AA8B07">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提供7×24小时的热线电话支持，责任工程师的移动电话24小时保持畅通。如果采购人使用的系统出现技术故障，无论是软件、网络，都可以得到远程支持与帮助。远程协助不能解决的问题，4小时内抵达现场解决。</w:t>
      </w:r>
    </w:p>
    <w:p w14:paraId="402930EA">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（2）了解系统的运行状况，对系统定期维护保养，使系统处于最佳运行状态。技术工程师需帮助采购人进行系统维护，包括：</w:t>
      </w:r>
    </w:p>
    <w:p w14:paraId="72D9A4F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①系统状况检测：根据采购人的运行记录和系统的运行日志，对系统状况进行检查，及时发现并解决潜在的问题。</w:t>
      </w:r>
    </w:p>
    <w:p w14:paraId="0CF49BF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②系统升级或修补：根据行业发展和产品厂商提供的支持，定期对系统性能测试及调整，解答采购人有关系统维护的问题，了解采购人对服务的满意程度和新的需求。</w:t>
      </w:r>
    </w:p>
    <w:p w14:paraId="02C6A3BA">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③紧急上门服务：系统故障或系统灾难导致系统正常工作受到影响，4小时内赶到现场服务。</w:t>
      </w:r>
    </w:p>
    <w:p w14:paraId="0AECAA2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3.2技术支持内容</w:t>
      </w:r>
    </w:p>
    <w:p w14:paraId="6FCDC07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（1）软件的日常维护。</w:t>
      </w:r>
    </w:p>
    <w:p w14:paraId="38E440E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（2）系统故障处理：在发现软件存在潜在缺陷情况下，提供补丁程序并提供安装及调试服务。提供产品更新通知服务，确保采购人获得版本更新的升级软件产品。</w:t>
      </w:r>
    </w:p>
    <w:p w14:paraId="4987E2CA">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（3）系统性能优化：系统运行环境检查，每季度对系统的运行环境进行检查，及时提出调优和故障预防建议。系统业务功能检查，保证单位业务能正常开展，需要对系统业务功能进行全面检查。</w:t>
      </w:r>
    </w:p>
    <w:p w14:paraId="56A5EAC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（4）数据库维护</w:t>
      </w:r>
    </w:p>
    <w:p w14:paraId="0DC01F8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①数据库系统故障处理。</w:t>
      </w:r>
    </w:p>
    <w:p w14:paraId="0C576254">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②数据库性能优化。</w:t>
      </w:r>
    </w:p>
    <w:p w14:paraId="229B15E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③数据库备份与恢复。</w:t>
      </w:r>
    </w:p>
    <w:p w14:paraId="7162A51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④数据库整理。</w:t>
      </w:r>
    </w:p>
    <w:p w14:paraId="688D8371">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3.3应急维修时间安排</w:t>
      </w:r>
    </w:p>
    <w:p w14:paraId="63F1903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（1）服务响应时间：一小时内响应。</w:t>
      </w:r>
    </w:p>
    <w:p w14:paraId="1176C07A">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到达现场时间：确认故障后和采购人商定，需以最快时间到达现场，进行重大紧急故障处理，到场后2小时解决问题。如出现2小时无法解决的问题，需提供相应备件产品供采购人使用，尽最大努力降低采购人的损失。</w:t>
      </w:r>
    </w:p>
    <w:p w14:paraId="12ED5B38">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3.4其它服务承诺</w:t>
      </w:r>
    </w:p>
    <w:p w14:paraId="544FCA8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（1）当服务器硬件系统出问题，一时无法恢复时，成交供应商需启用应急处理措施，为采购人提供临时服务器解决方案，保证医院系统不影响正常的工作；</w:t>
      </w:r>
    </w:p>
    <w:p w14:paraId="166CBDDC">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（2）培训要求：至少提供2名受训人员进行维护和保养等的技术培训，供应商提供详细的培训计划、培训内容及列明培训时间、地点。费用应包含在报价总报价内。</w:t>
      </w:r>
    </w:p>
    <w:p w14:paraId="1F714554">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highlight w:val="none"/>
          <w:lang w:val="en-US" w:eastAsia="zh-CN"/>
        </w:rPr>
        <w:t>3）人员要求：选派具有相关经验的技术人员负责维护工作，且在维护期间，为医院设立技术档案，用于记录系统维护记录。在服务期开始前，供应商须提供人员档案备案。如无特殊原因不得更换运维人员，更换人员需提前一个月告知。</w:t>
      </w:r>
    </w:p>
    <w:p w14:paraId="6228A03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（4）业绩要求：供应商具有医疗机构信息系统的维保经验【2024年1月1日至今（以合同签订时间为准）】。</w:t>
      </w:r>
    </w:p>
    <w:p w14:paraId="78C4E235">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（四）验收及使用</w:t>
      </w:r>
    </w:p>
    <w:p w14:paraId="7D431F42">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1.验收标准：验收的主要依据包括本项目的采购文件、响应文件、合同等。</w:t>
      </w:r>
    </w:p>
    <w:p w14:paraId="3769135C">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总体验收：成交供应商须为验收提供必需的一切条件及相关费用，服务期届满后，当项目所有工作内容完成以后，由成交供应商提交验收申请，采购人组织验收小组，负责对项目进行验收。依据考核方案，按照维护人员服务标准、维护工作质量标准，成交供应商必须提供本项目的相关文档和报告，并积极配合采购人进行完工验收工作，如果验收发现与详细业务需求不符或达不到规定的要求，采购人有权提出索赔。</w:t>
      </w:r>
    </w:p>
    <w:p w14:paraId="6DA00FE9">
      <w:pPr>
        <w:bidi w:val="0"/>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3.在采购人的监督下，服务过程中的各项工作和文档，须达到采购文件中技术要求的标准。</w:t>
      </w:r>
    </w:p>
    <w:p w14:paraId="69A35FF9">
      <w:pPr>
        <w:pStyle w:val="2"/>
        <w:rPr>
          <w:rFonts w:hint="eastAsia" w:ascii="宋体" w:hAnsi="宋体" w:eastAsia="宋体" w:cs="宋体"/>
          <w:color w:val="auto"/>
          <w:sz w:val="24"/>
          <w:szCs w:val="24"/>
          <w:lang w:val="en-US" w:eastAsia="zh-CN"/>
        </w:rPr>
      </w:pPr>
    </w:p>
    <w:p w14:paraId="3F34BD5D">
      <w:pPr>
        <w:rPr>
          <w:rFonts w:hint="eastAsia" w:ascii="宋体" w:hAnsi="宋体" w:eastAsia="宋体" w:cs="宋体"/>
          <w:color w:val="auto"/>
          <w:sz w:val="24"/>
          <w:szCs w:val="24"/>
          <w:lang w:val="en-US" w:eastAsia="zh-CN"/>
        </w:rPr>
      </w:pPr>
    </w:p>
    <w:p w14:paraId="0C63AA6A">
      <w:pPr>
        <w:pStyle w:val="2"/>
        <w:rPr>
          <w:rFonts w:hint="eastAsia" w:ascii="宋体" w:hAnsi="宋体" w:eastAsia="宋体" w:cs="宋体"/>
          <w:color w:val="auto"/>
          <w:sz w:val="24"/>
          <w:szCs w:val="24"/>
          <w:lang w:val="en-US" w:eastAsia="zh-CN"/>
        </w:rPr>
      </w:pPr>
    </w:p>
    <w:p w14:paraId="2FC152D9">
      <w:pPr>
        <w:rPr>
          <w:rFonts w:hint="eastAsia" w:ascii="宋体" w:hAnsi="宋体" w:eastAsia="宋体" w:cs="宋体"/>
          <w:color w:val="auto"/>
          <w:sz w:val="24"/>
          <w:szCs w:val="24"/>
          <w:lang w:val="en-US" w:eastAsia="zh-CN"/>
        </w:rPr>
      </w:pPr>
    </w:p>
    <w:p w14:paraId="323007FC">
      <w:pPr>
        <w:pStyle w:val="2"/>
        <w:rPr>
          <w:rFonts w:hint="eastAsia" w:ascii="宋体" w:hAnsi="宋体" w:eastAsia="宋体" w:cs="宋体"/>
          <w:color w:val="auto"/>
          <w:sz w:val="24"/>
          <w:szCs w:val="24"/>
          <w:lang w:val="en-US" w:eastAsia="zh-CN"/>
        </w:rPr>
      </w:pPr>
    </w:p>
    <w:p w14:paraId="3C63E559">
      <w:pPr>
        <w:rPr>
          <w:rFonts w:hint="eastAsia" w:ascii="宋体" w:hAnsi="宋体" w:eastAsia="宋体" w:cs="宋体"/>
          <w:color w:val="auto"/>
          <w:sz w:val="24"/>
          <w:szCs w:val="24"/>
          <w:lang w:val="en-US" w:eastAsia="zh-CN"/>
        </w:rPr>
      </w:pPr>
    </w:p>
    <w:p w14:paraId="6FF3F772">
      <w:pPr>
        <w:pStyle w:val="2"/>
        <w:rPr>
          <w:rFonts w:hint="eastAsia" w:ascii="宋体" w:hAnsi="宋体" w:eastAsia="宋体" w:cs="宋体"/>
          <w:color w:val="auto"/>
          <w:sz w:val="24"/>
          <w:szCs w:val="24"/>
          <w:lang w:val="en-US" w:eastAsia="zh-CN"/>
        </w:rPr>
      </w:pPr>
    </w:p>
    <w:p w14:paraId="66DFF287">
      <w:pPr>
        <w:rPr>
          <w:rFonts w:hint="eastAsia" w:ascii="宋体" w:hAnsi="宋体" w:eastAsia="宋体" w:cs="宋体"/>
          <w:color w:val="auto"/>
          <w:sz w:val="24"/>
          <w:szCs w:val="24"/>
          <w:lang w:val="en-US" w:eastAsia="zh-CN"/>
        </w:rPr>
      </w:pPr>
    </w:p>
    <w:p w14:paraId="012A2468">
      <w:pPr>
        <w:pStyle w:val="2"/>
        <w:rPr>
          <w:rFonts w:hint="eastAsia"/>
        </w:rPr>
      </w:pPr>
    </w:p>
    <w:p w14:paraId="58BC5D97">
      <w:pPr>
        <w:pStyle w:val="5"/>
        <w:jc w:val="center"/>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考核方案</w:t>
      </w:r>
    </w:p>
    <w:tbl>
      <w:tblPr>
        <w:tblStyle w:val="7"/>
        <w:tblW w:w="8839" w:type="dxa"/>
        <w:tblInd w:w="-27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65"/>
        <w:gridCol w:w="2348"/>
        <w:gridCol w:w="2310"/>
        <w:gridCol w:w="1552"/>
        <w:gridCol w:w="766"/>
        <w:gridCol w:w="1098"/>
      </w:tblGrid>
      <w:tr w14:paraId="2EBF0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5" w:hRule="atLeast"/>
        </w:trPr>
        <w:tc>
          <w:tcPr>
            <w:tcW w:w="6975" w:type="dxa"/>
            <w:gridSpan w:val="4"/>
            <w:noWrap w:val="0"/>
            <w:vAlign w:val="center"/>
          </w:tcPr>
          <w:p w14:paraId="21477ED0">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考  核  标  准</w:t>
            </w:r>
          </w:p>
        </w:tc>
        <w:tc>
          <w:tcPr>
            <w:tcW w:w="766" w:type="dxa"/>
            <w:noWrap w:val="0"/>
            <w:vAlign w:val="center"/>
          </w:tcPr>
          <w:p w14:paraId="04947E14">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扣分</w:t>
            </w:r>
          </w:p>
        </w:tc>
        <w:tc>
          <w:tcPr>
            <w:tcW w:w="1098" w:type="dxa"/>
            <w:noWrap w:val="0"/>
            <w:vAlign w:val="center"/>
          </w:tcPr>
          <w:p w14:paraId="165B039B">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备注</w:t>
            </w:r>
          </w:p>
        </w:tc>
      </w:tr>
      <w:tr w14:paraId="73251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6" w:hRule="atLeast"/>
        </w:trPr>
        <w:tc>
          <w:tcPr>
            <w:tcW w:w="765" w:type="dxa"/>
            <w:vMerge w:val="restart"/>
            <w:noWrap w:val="0"/>
            <w:vAlign w:val="center"/>
          </w:tcPr>
          <w:p w14:paraId="4824E8A7">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维护</w:t>
            </w:r>
          </w:p>
          <w:p w14:paraId="21C55E2A">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人员</w:t>
            </w:r>
          </w:p>
          <w:p w14:paraId="21BABCC2">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服务</w:t>
            </w:r>
          </w:p>
          <w:p w14:paraId="61BF6138">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标准</w:t>
            </w:r>
          </w:p>
        </w:tc>
        <w:tc>
          <w:tcPr>
            <w:tcW w:w="6210" w:type="dxa"/>
            <w:gridSpan w:val="3"/>
            <w:noWrap w:val="0"/>
            <w:tcMar>
              <w:top w:w="0" w:type="dxa"/>
              <w:left w:w="57" w:type="dxa"/>
              <w:bottom w:w="0" w:type="dxa"/>
              <w:right w:w="57" w:type="dxa"/>
            </w:tcMar>
            <w:vAlign w:val="center"/>
          </w:tcPr>
          <w:p w14:paraId="62644FF6">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1.维护人员言行举止，文明有礼,保持场地整洁，人走场清，保证维护场地卫生清洁，每次不符扣5分；</w:t>
            </w:r>
          </w:p>
        </w:tc>
        <w:tc>
          <w:tcPr>
            <w:tcW w:w="766" w:type="dxa"/>
            <w:noWrap w:val="0"/>
            <w:vAlign w:val="center"/>
          </w:tcPr>
          <w:p w14:paraId="336E8DA1">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c>
          <w:tcPr>
            <w:tcW w:w="1098" w:type="dxa"/>
            <w:noWrap w:val="0"/>
            <w:vAlign w:val="center"/>
          </w:tcPr>
          <w:p w14:paraId="027B5B0D">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r>
      <w:tr w14:paraId="18A80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0" w:hRule="atLeast"/>
        </w:trPr>
        <w:tc>
          <w:tcPr>
            <w:tcW w:w="765" w:type="dxa"/>
            <w:vMerge w:val="continue"/>
            <w:noWrap w:val="0"/>
            <w:vAlign w:val="center"/>
          </w:tcPr>
          <w:p w14:paraId="3176028A">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exact"/>
              <w:ind w:left="0" w:leftChars="0" w:right="0" w:firstLine="0" w:firstLineChars="0"/>
              <w:jc w:val="center"/>
              <w:textAlignment w:val="auto"/>
              <w:rPr>
                <w:rFonts w:hint="eastAsia" w:ascii="宋体" w:hAnsi="宋体" w:eastAsia="宋体" w:cs="宋体"/>
                <w:color w:val="auto"/>
                <w:sz w:val="21"/>
                <w:szCs w:val="21"/>
                <w:highlight w:val="none"/>
              </w:rPr>
            </w:pPr>
          </w:p>
        </w:tc>
        <w:tc>
          <w:tcPr>
            <w:tcW w:w="6210" w:type="dxa"/>
            <w:gridSpan w:val="3"/>
            <w:noWrap w:val="0"/>
            <w:tcMar>
              <w:top w:w="0" w:type="dxa"/>
              <w:left w:w="57" w:type="dxa"/>
              <w:bottom w:w="0" w:type="dxa"/>
              <w:right w:w="57" w:type="dxa"/>
            </w:tcMar>
            <w:vAlign w:val="center"/>
          </w:tcPr>
          <w:p w14:paraId="6052D186">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2.维护人员应遵守合同约定，不得向用户变相索取小费或加班费等，每次不符扣5分；</w:t>
            </w:r>
          </w:p>
        </w:tc>
        <w:tc>
          <w:tcPr>
            <w:tcW w:w="766" w:type="dxa"/>
            <w:noWrap w:val="0"/>
            <w:vAlign w:val="center"/>
          </w:tcPr>
          <w:p w14:paraId="3FA641EF">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c>
          <w:tcPr>
            <w:tcW w:w="1098" w:type="dxa"/>
            <w:noWrap w:val="0"/>
            <w:vAlign w:val="center"/>
          </w:tcPr>
          <w:p w14:paraId="4CE4BFA6">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r>
      <w:tr w14:paraId="191B0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3" w:hRule="atLeast"/>
        </w:trPr>
        <w:tc>
          <w:tcPr>
            <w:tcW w:w="765" w:type="dxa"/>
            <w:vMerge w:val="continue"/>
            <w:noWrap w:val="0"/>
            <w:vAlign w:val="center"/>
          </w:tcPr>
          <w:p w14:paraId="3A96F7F1">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exact"/>
              <w:ind w:left="0" w:leftChars="0" w:right="0" w:firstLine="0" w:firstLineChars="0"/>
              <w:jc w:val="center"/>
              <w:textAlignment w:val="auto"/>
              <w:rPr>
                <w:rFonts w:hint="eastAsia" w:ascii="宋体" w:hAnsi="宋体" w:eastAsia="宋体" w:cs="宋体"/>
                <w:color w:val="auto"/>
                <w:sz w:val="21"/>
                <w:szCs w:val="21"/>
                <w:highlight w:val="none"/>
              </w:rPr>
            </w:pPr>
          </w:p>
        </w:tc>
        <w:tc>
          <w:tcPr>
            <w:tcW w:w="6210" w:type="dxa"/>
            <w:gridSpan w:val="3"/>
            <w:noWrap w:val="0"/>
            <w:tcMar>
              <w:top w:w="0" w:type="dxa"/>
              <w:left w:w="57" w:type="dxa"/>
              <w:bottom w:w="0" w:type="dxa"/>
              <w:right w:w="57" w:type="dxa"/>
            </w:tcMar>
            <w:vAlign w:val="center"/>
          </w:tcPr>
          <w:p w14:paraId="3A84BD95">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3.用户对维护人员服务态度，质量评价不满意，投诉经核实一次扣10分；</w:t>
            </w:r>
          </w:p>
        </w:tc>
        <w:tc>
          <w:tcPr>
            <w:tcW w:w="766" w:type="dxa"/>
            <w:noWrap w:val="0"/>
            <w:vAlign w:val="center"/>
          </w:tcPr>
          <w:p w14:paraId="7312F644">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c>
          <w:tcPr>
            <w:tcW w:w="1098" w:type="dxa"/>
            <w:noWrap w:val="0"/>
            <w:vAlign w:val="center"/>
          </w:tcPr>
          <w:p w14:paraId="2677E343">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r>
      <w:tr w14:paraId="28E2E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0" w:hRule="atLeast"/>
        </w:trPr>
        <w:tc>
          <w:tcPr>
            <w:tcW w:w="765" w:type="dxa"/>
            <w:vMerge w:val="continue"/>
            <w:noWrap w:val="0"/>
            <w:vAlign w:val="center"/>
          </w:tcPr>
          <w:p w14:paraId="2C6FA791">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exact"/>
              <w:ind w:left="0" w:leftChars="0" w:right="0" w:firstLine="0" w:firstLineChars="0"/>
              <w:jc w:val="center"/>
              <w:textAlignment w:val="auto"/>
              <w:rPr>
                <w:rFonts w:hint="eastAsia" w:ascii="宋体" w:hAnsi="宋体" w:eastAsia="宋体" w:cs="宋体"/>
                <w:color w:val="auto"/>
                <w:sz w:val="21"/>
                <w:szCs w:val="21"/>
                <w:highlight w:val="none"/>
              </w:rPr>
            </w:pPr>
          </w:p>
        </w:tc>
        <w:tc>
          <w:tcPr>
            <w:tcW w:w="6210" w:type="dxa"/>
            <w:gridSpan w:val="3"/>
            <w:noWrap w:val="0"/>
            <w:tcMar>
              <w:top w:w="0" w:type="dxa"/>
              <w:left w:w="57" w:type="dxa"/>
              <w:bottom w:w="0" w:type="dxa"/>
              <w:right w:w="57" w:type="dxa"/>
            </w:tcMar>
            <w:vAlign w:val="center"/>
          </w:tcPr>
          <w:p w14:paraId="3C22AC4A">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4.安排的工作，无正当理由应服从工作分配、调动和指挥，每次不符扣10分；</w:t>
            </w:r>
          </w:p>
        </w:tc>
        <w:tc>
          <w:tcPr>
            <w:tcW w:w="766" w:type="dxa"/>
            <w:noWrap w:val="0"/>
            <w:vAlign w:val="center"/>
          </w:tcPr>
          <w:p w14:paraId="5E0D4544">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c>
          <w:tcPr>
            <w:tcW w:w="1098" w:type="dxa"/>
            <w:noWrap w:val="0"/>
            <w:vAlign w:val="center"/>
          </w:tcPr>
          <w:p w14:paraId="22416FB6">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r>
      <w:tr w14:paraId="753B0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5" w:hRule="atLeast"/>
        </w:trPr>
        <w:tc>
          <w:tcPr>
            <w:tcW w:w="765" w:type="dxa"/>
            <w:vMerge w:val="continue"/>
            <w:noWrap w:val="0"/>
            <w:vAlign w:val="center"/>
          </w:tcPr>
          <w:p w14:paraId="250AFF51">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exact"/>
              <w:ind w:left="0" w:leftChars="0" w:right="0" w:firstLine="0" w:firstLineChars="0"/>
              <w:jc w:val="center"/>
              <w:textAlignment w:val="auto"/>
              <w:rPr>
                <w:rFonts w:hint="eastAsia" w:ascii="宋体" w:hAnsi="宋体" w:eastAsia="宋体" w:cs="宋体"/>
                <w:color w:val="auto"/>
                <w:sz w:val="21"/>
                <w:szCs w:val="21"/>
                <w:highlight w:val="none"/>
              </w:rPr>
            </w:pPr>
          </w:p>
        </w:tc>
        <w:tc>
          <w:tcPr>
            <w:tcW w:w="6210" w:type="dxa"/>
            <w:gridSpan w:val="3"/>
            <w:noWrap w:val="0"/>
            <w:tcMar>
              <w:top w:w="0" w:type="dxa"/>
              <w:left w:w="57" w:type="dxa"/>
              <w:bottom w:w="0" w:type="dxa"/>
              <w:right w:w="57" w:type="dxa"/>
            </w:tcMar>
            <w:vAlign w:val="center"/>
          </w:tcPr>
          <w:p w14:paraId="393C12CE">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5.遵守院劳动纪律，每次不符扣</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分；</w:t>
            </w:r>
          </w:p>
        </w:tc>
        <w:tc>
          <w:tcPr>
            <w:tcW w:w="766" w:type="dxa"/>
            <w:noWrap w:val="0"/>
            <w:vAlign w:val="center"/>
          </w:tcPr>
          <w:p w14:paraId="3D1050CB">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c>
          <w:tcPr>
            <w:tcW w:w="1098" w:type="dxa"/>
            <w:noWrap w:val="0"/>
            <w:vAlign w:val="center"/>
          </w:tcPr>
          <w:p w14:paraId="49BE9FF4">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r>
      <w:tr w14:paraId="1E252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9" w:hRule="atLeast"/>
        </w:trPr>
        <w:tc>
          <w:tcPr>
            <w:tcW w:w="765" w:type="dxa"/>
            <w:vMerge w:val="restart"/>
            <w:noWrap w:val="0"/>
            <w:vAlign w:val="center"/>
          </w:tcPr>
          <w:p w14:paraId="6BB8ED82">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维护</w:t>
            </w:r>
          </w:p>
          <w:p w14:paraId="2180F623">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工作</w:t>
            </w:r>
          </w:p>
          <w:p w14:paraId="5796BD5B">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质量</w:t>
            </w:r>
          </w:p>
          <w:p w14:paraId="7828B6C1">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标准</w:t>
            </w:r>
          </w:p>
        </w:tc>
        <w:tc>
          <w:tcPr>
            <w:tcW w:w="6210" w:type="dxa"/>
            <w:gridSpan w:val="3"/>
            <w:noWrap w:val="0"/>
            <w:tcMar>
              <w:top w:w="0" w:type="dxa"/>
              <w:left w:w="57" w:type="dxa"/>
              <w:bottom w:w="0" w:type="dxa"/>
              <w:right w:w="57" w:type="dxa"/>
            </w:tcMar>
            <w:vAlign w:val="center"/>
          </w:tcPr>
          <w:p w14:paraId="45878699">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1.维护人员主动向院方系统管理人员反馈维护情况，并</w:t>
            </w:r>
            <w:r>
              <w:rPr>
                <w:rFonts w:hint="eastAsia" w:ascii="宋体" w:hAnsi="宋体" w:cs="宋体"/>
                <w:color w:val="auto"/>
                <w:sz w:val="21"/>
                <w:szCs w:val="21"/>
                <w:highlight w:val="none"/>
                <w:lang w:val="en-US" w:eastAsia="zh-CN"/>
              </w:rPr>
              <w:t>按照合同要求</w:t>
            </w:r>
            <w:r>
              <w:rPr>
                <w:rFonts w:hint="eastAsia" w:ascii="宋体" w:hAnsi="宋体" w:eastAsia="宋体" w:cs="宋体"/>
                <w:color w:val="auto"/>
                <w:sz w:val="21"/>
                <w:szCs w:val="21"/>
                <w:highlight w:val="none"/>
                <w:lang w:val="en-US" w:eastAsia="zh-CN"/>
              </w:rPr>
              <w:t>提交维护记录表由管理人员签字确认，每次不符扣5分；</w:t>
            </w:r>
          </w:p>
        </w:tc>
        <w:tc>
          <w:tcPr>
            <w:tcW w:w="766" w:type="dxa"/>
            <w:noWrap w:val="0"/>
            <w:vAlign w:val="center"/>
          </w:tcPr>
          <w:p w14:paraId="43348189">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c>
          <w:tcPr>
            <w:tcW w:w="1098" w:type="dxa"/>
            <w:noWrap w:val="0"/>
            <w:vAlign w:val="center"/>
          </w:tcPr>
          <w:p w14:paraId="7253A04F">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r>
      <w:tr w14:paraId="4C1AF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53" w:hRule="atLeast"/>
        </w:trPr>
        <w:tc>
          <w:tcPr>
            <w:tcW w:w="765" w:type="dxa"/>
            <w:vMerge w:val="continue"/>
            <w:noWrap w:val="0"/>
            <w:vAlign w:val="center"/>
          </w:tcPr>
          <w:p w14:paraId="1345168A">
            <w:pPr>
              <w:keepNext w:val="0"/>
              <w:keepLines w:val="0"/>
              <w:pageBreakBefore w:val="0"/>
              <w:widowControl w:val="0"/>
              <w:tabs>
                <w:tab w:val="left" w:pos="797"/>
              </w:tabs>
              <w:kinsoku/>
              <w:wordWrap/>
              <w:overflowPunct/>
              <w:topLinePunct w:val="0"/>
              <w:autoSpaceDE/>
              <w:autoSpaceDN/>
              <w:bidi w:val="0"/>
              <w:adjustRightInd w:val="0"/>
              <w:snapToGrid w:val="0"/>
              <w:spacing w:line="360" w:lineRule="exact"/>
              <w:ind w:left="0" w:leftChars="0" w:right="0" w:firstLine="0" w:firstLineChars="0"/>
              <w:jc w:val="center"/>
              <w:textAlignment w:val="auto"/>
              <w:rPr>
                <w:rFonts w:hint="eastAsia" w:ascii="宋体" w:hAnsi="宋体" w:eastAsia="宋体" w:cs="宋体"/>
                <w:color w:val="auto"/>
                <w:sz w:val="21"/>
                <w:szCs w:val="21"/>
                <w:highlight w:val="none"/>
              </w:rPr>
            </w:pPr>
          </w:p>
        </w:tc>
        <w:tc>
          <w:tcPr>
            <w:tcW w:w="6210" w:type="dxa"/>
            <w:gridSpan w:val="3"/>
            <w:noWrap w:val="0"/>
            <w:tcMar>
              <w:top w:w="0" w:type="dxa"/>
              <w:left w:w="57" w:type="dxa"/>
              <w:bottom w:w="0" w:type="dxa"/>
              <w:right w:w="57" w:type="dxa"/>
            </w:tcMar>
            <w:vAlign w:val="center"/>
          </w:tcPr>
          <w:p w14:paraId="2012F1B5">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2.维护记录台账建立，资料齐全，甲方</w:t>
            </w:r>
            <w:r>
              <w:rPr>
                <w:rFonts w:hint="eastAsia" w:ascii="宋体" w:hAnsi="宋体" w:cs="宋体"/>
                <w:color w:val="auto"/>
                <w:sz w:val="21"/>
                <w:szCs w:val="21"/>
                <w:highlight w:val="none"/>
                <w:lang w:val="en-US" w:eastAsia="zh-CN"/>
              </w:rPr>
              <w:t>季度</w:t>
            </w:r>
            <w:r>
              <w:rPr>
                <w:rFonts w:hint="eastAsia" w:ascii="宋体" w:hAnsi="宋体" w:eastAsia="宋体" w:cs="宋体"/>
                <w:color w:val="auto"/>
                <w:sz w:val="21"/>
                <w:szCs w:val="21"/>
                <w:highlight w:val="none"/>
                <w:lang w:val="en-US" w:eastAsia="zh-CN"/>
              </w:rPr>
              <w:t>检查或不定期抽查每次不符扣5分，甲方反馈的问题没有及时整改到位的扣5分；</w:t>
            </w:r>
          </w:p>
        </w:tc>
        <w:tc>
          <w:tcPr>
            <w:tcW w:w="766" w:type="dxa"/>
            <w:noWrap w:val="0"/>
            <w:vAlign w:val="center"/>
          </w:tcPr>
          <w:p w14:paraId="7246DA15">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c>
          <w:tcPr>
            <w:tcW w:w="1098" w:type="dxa"/>
            <w:noWrap w:val="0"/>
            <w:vAlign w:val="center"/>
          </w:tcPr>
          <w:p w14:paraId="4BCA10C5">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r>
      <w:tr w14:paraId="0761D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9" w:hRule="atLeast"/>
        </w:trPr>
        <w:tc>
          <w:tcPr>
            <w:tcW w:w="765" w:type="dxa"/>
            <w:vMerge w:val="continue"/>
            <w:noWrap w:val="0"/>
            <w:vAlign w:val="top"/>
          </w:tcPr>
          <w:p w14:paraId="457E901B">
            <w:pPr>
              <w:keepNext w:val="0"/>
              <w:keepLines w:val="0"/>
              <w:pageBreakBefore w:val="0"/>
              <w:widowControl w:val="0"/>
              <w:numPr>
                <w:ilvl w:val="0"/>
                <w:numId w:val="2"/>
              </w:numPr>
              <w:tabs>
                <w:tab w:val="left" w:pos="1290"/>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c>
          <w:tcPr>
            <w:tcW w:w="6210" w:type="dxa"/>
            <w:gridSpan w:val="3"/>
            <w:noWrap w:val="0"/>
            <w:tcMar>
              <w:top w:w="0" w:type="dxa"/>
              <w:left w:w="57" w:type="dxa"/>
              <w:bottom w:w="0" w:type="dxa"/>
              <w:right w:w="57" w:type="dxa"/>
            </w:tcMar>
            <w:vAlign w:val="center"/>
          </w:tcPr>
          <w:p w14:paraId="32525611">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r>
              <w:rPr>
                <w:rFonts w:hint="eastAsia" w:ascii="宋体" w:hAnsi="宋体" w:cs="宋体"/>
                <w:color w:val="auto"/>
                <w:sz w:val="21"/>
                <w:szCs w:val="21"/>
                <w:highlight w:val="none"/>
                <w:lang w:val="en-US" w:eastAsia="zh-CN"/>
              </w:rPr>
              <w:t>工作时间内</w:t>
            </w:r>
            <w:r>
              <w:rPr>
                <w:rFonts w:hint="eastAsia" w:ascii="宋体" w:hAnsi="宋体" w:eastAsia="宋体" w:cs="宋体"/>
                <w:color w:val="auto"/>
                <w:sz w:val="21"/>
                <w:szCs w:val="21"/>
                <w:highlight w:val="none"/>
                <w:lang w:val="en-US" w:eastAsia="zh-CN"/>
              </w:rPr>
              <w:t>电话无人接听</w:t>
            </w:r>
            <w:r>
              <w:rPr>
                <w:rFonts w:hint="eastAsia" w:ascii="宋体" w:hAnsi="宋体" w:cs="宋体"/>
                <w:color w:val="auto"/>
                <w:sz w:val="21"/>
                <w:szCs w:val="21"/>
                <w:highlight w:val="none"/>
                <w:lang w:val="en-US" w:eastAsia="zh-CN"/>
              </w:rPr>
              <w:t>或微信不及时回应，</w:t>
            </w:r>
            <w:r>
              <w:rPr>
                <w:rFonts w:hint="eastAsia" w:ascii="宋体" w:hAnsi="宋体" w:eastAsia="宋体" w:cs="宋体"/>
                <w:color w:val="auto"/>
                <w:sz w:val="21"/>
                <w:szCs w:val="21"/>
                <w:highlight w:val="none"/>
                <w:lang w:val="en-US" w:eastAsia="zh-CN"/>
              </w:rPr>
              <w:t>1次扣2分（外出工作除外）；</w:t>
            </w:r>
          </w:p>
        </w:tc>
        <w:tc>
          <w:tcPr>
            <w:tcW w:w="766" w:type="dxa"/>
            <w:noWrap w:val="0"/>
            <w:vAlign w:val="center"/>
          </w:tcPr>
          <w:p w14:paraId="131EF289">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c>
          <w:tcPr>
            <w:tcW w:w="1098" w:type="dxa"/>
            <w:noWrap w:val="0"/>
            <w:vAlign w:val="center"/>
          </w:tcPr>
          <w:p w14:paraId="0D150EEB">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r>
      <w:tr w14:paraId="66985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1" w:hRule="atLeast"/>
        </w:trPr>
        <w:tc>
          <w:tcPr>
            <w:tcW w:w="765" w:type="dxa"/>
            <w:vMerge w:val="continue"/>
            <w:noWrap w:val="0"/>
            <w:vAlign w:val="top"/>
          </w:tcPr>
          <w:p w14:paraId="07693214">
            <w:pPr>
              <w:keepNext w:val="0"/>
              <w:keepLines w:val="0"/>
              <w:pageBreakBefore w:val="0"/>
              <w:widowControl w:val="0"/>
              <w:numPr>
                <w:ilvl w:val="0"/>
                <w:numId w:val="2"/>
              </w:numPr>
              <w:tabs>
                <w:tab w:val="left" w:pos="1290"/>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c>
          <w:tcPr>
            <w:tcW w:w="6210" w:type="dxa"/>
            <w:gridSpan w:val="3"/>
            <w:noWrap w:val="0"/>
            <w:tcMar>
              <w:top w:w="0" w:type="dxa"/>
              <w:left w:w="57" w:type="dxa"/>
              <w:bottom w:w="0" w:type="dxa"/>
              <w:right w:w="57" w:type="dxa"/>
            </w:tcMar>
            <w:vAlign w:val="center"/>
          </w:tcPr>
          <w:p w14:paraId="4F5A5226">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4.接到派工单或工作指令应立即赶赴现场</w:t>
            </w:r>
            <w:r>
              <w:rPr>
                <w:rFonts w:hint="eastAsia" w:ascii="宋体" w:hAnsi="宋体" w:cs="宋体"/>
                <w:color w:val="auto"/>
                <w:sz w:val="21"/>
                <w:szCs w:val="21"/>
                <w:highlight w:val="none"/>
                <w:lang w:val="en-US" w:eastAsia="zh-CN"/>
              </w:rPr>
              <w:t>或远程处理</w:t>
            </w:r>
            <w:r>
              <w:rPr>
                <w:rFonts w:hint="eastAsia" w:ascii="宋体" w:hAnsi="宋体" w:eastAsia="宋体" w:cs="宋体"/>
                <w:color w:val="auto"/>
                <w:sz w:val="21"/>
                <w:szCs w:val="21"/>
                <w:highlight w:val="none"/>
                <w:lang w:val="en-US" w:eastAsia="zh-CN"/>
              </w:rPr>
              <w:t>，未及时响应每次扣</w:t>
            </w:r>
            <w:r>
              <w:rPr>
                <w:rFonts w:hint="eastAsia" w:ascii="宋体" w:hAnsi="宋体" w:cs="宋体"/>
                <w:color w:val="auto"/>
                <w:sz w:val="21"/>
                <w:szCs w:val="21"/>
                <w:highlight w:val="none"/>
                <w:lang w:val="en-US" w:eastAsia="zh-CN"/>
              </w:rPr>
              <w:t>5</w:t>
            </w:r>
            <w:r>
              <w:rPr>
                <w:rFonts w:hint="eastAsia" w:ascii="宋体" w:hAnsi="宋体" w:eastAsia="宋体" w:cs="宋体"/>
                <w:color w:val="auto"/>
                <w:sz w:val="21"/>
                <w:szCs w:val="21"/>
                <w:highlight w:val="none"/>
                <w:lang w:val="en-US" w:eastAsia="zh-CN"/>
              </w:rPr>
              <w:t>分；</w:t>
            </w:r>
          </w:p>
        </w:tc>
        <w:tc>
          <w:tcPr>
            <w:tcW w:w="766" w:type="dxa"/>
            <w:noWrap w:val="0"/>
            <w:vAlign w:val="center"/>
          </w:tcPr>
          <w:p w14:paraId="5945686A">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c>
          <w:tcPr>
            <w:tcW w:w="1098" w:type="dxa"/>
            <w:noWrap w:val="0"/>
            <w:vAlign w:val="center"/>
          </w:tcPr>
          <w:p w14:paraId="32665EB3">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r>
      <w:tr w14:paraId="2AE75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6" w:hRule="atLeast"/>
        </w:trPr>
        <w:tc>
          <w:tcPr>
            <w:tcW w:w="765" w:type="dxa"/>
            <w:vMerge w:val="continue"/>
            <w:noWrap w:val="0"/>
            <w:vAlign w:val="top"/>
          </w:tcPr>
          <w:p w14:paraId="210022EC">
            <w:pPr>
              <w:keepNext w:val="0"/>
              <w:keepLines w:val="0"/>
              <w:pageBreakBefore w:val="0"/>
              <w:widowControl w:val="0"/>
              <w:numPr>
                <w:ilvl w:val="0"/>
                <w:numId w:val="2"/>
              </w:numPr>
              <w:tabs>
                <w:tab w:val="left" w:pos="1290"/>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c>
          <w:tcPr>
            <w:tcW w:w="6210" w:type="dxa"/>
            <w:gridSpan w:val="3"/>
            <w:noWrap w:val="0"/>
            <w:tcMar>
              <w:top w:w="0" w:type="dxa"/>
              <w:left w:w="57" w:type="dxa"/>
              <w:bottom w:w="0" w:type="dxa"/>
              <w:right w:w="57" w:type="dxa"/>
            </w:tcMar>
            <w:vAlign w:val="center"/>
          </w:tcPr>
          <w:p w14:paraId="3ACEA232">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5.维护内容和要求不符合合同要求，未经甲方重新认可，每次扣5分；</w:t>
            </w:r>
          </w:p>
        </w:tc>
        <w:tc>
          <w:tcPr>
            <w:tcW w:w="766" w:type="dxa"/>
            <w:noWrap w:val="0"/>
            <w:vAlign w:val="center"/>
          </w:tcPr>
          <w:p w14:paraId="436D31DF">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c>
          <w:tcPr>
            <w:tcW w:w="1098" w:type="dxa"/>
            <w:noWrap w:val="0"/>
            <w:vAlign w:val="center"/>
          </w:tcPr>
          <w:p w14:paraId="2EA7DDAD">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r>
      <w:tr w14:paraId="7A695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5" w:hRule="atLeast"/>
        </w:trPr>
        <w:tc>
          <w:tcPr>
            <w:tcW w:w="765" w:type="dxa"/>
            <w:vMerge w:val="continue"/>
            <w:noWrap w:val="0"/>
            <w:vAlign w:val="top"/>
          </w:tcPr>
          <w:p w14:paraId="018B150F">
            <w:pPr>
              <w:keepNext w:val="0"/>
              <w:keepLines w:val="0"/>
              <w:pageBreakBefore w:val="0"/>
              <w:widowControl w:val="0"/>
              <w:numPr>
                <w:ilvl w:val="0"/>
                <w:numId w:val="2"/>
              </w:numPr>
              <w:tabs>
                <w:tab w:val="left" w:pos="1290"/>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c>
          <w:tcPr>
            <w:tcW w:w="6210" w:type="dxa"/>
            <w:gridSpan w:val="3"/>
            <w:noWrap w:val="0"/>
            <w:tcMar>
              <w:top w:w="0" w:type="dxa"/>
              <w:left w:w="57" w:type="dxa"/>
              <w:bottom w:w="0" w:type="dxa"/>
              <w:right w:w="57" w:type="dxa"/>
            </w:tcMar>
            <w:vAlign w:val="center"/>
          </w:tcPr>
          <w:p w14:paraId="3D3EC72F">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6.更换维护人员未得到甲方确认的，每次扣5分；</w:t>
            </w:r>
          </w:p>
        </w:tc>
        <w:tc>
          <w:tcPr>
            <w:tcW w:w="766" w:type="dxa"/>
            <w:noWrap w:val="0"/>
            <w:vAlign w:val="center"/>
          </w:tcPr>
          <w:p w14:paraId="1BA45E54">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c>
          <w:tcPr>
            <w:tcW w:w="1098" w:type="dxa"/>
            <w:noWrap w:val="0"/>
            <w:vAlign w:val="center"/>
          </w:tcPr>
          <w:p w14:paraId="44A44EE2">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r>
      <w:tr w14:paraId="651BB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0" w:hRule="atLeast"/>
        </w:trPr>
        <w:tc>
          <w:tcPr>
            <w:tcW w:w="765" w:type="dxa"/>
            <w:vMerge w:val="continue"/>
            <w:noWrap w:val="0"/>
            <w:vAlign w:val="top"/>
          </w:tcPr>
          <w:p w14:paraId="03471721">
            <w:pPr>
              <w:keepNext w:val="0"/>
              <w:keepLines w:val="0"/>
              <w:pageBreakBefore w:val="0"/>
              <w:widowControl w:val="0"/>
              <w:numPr>
                <w:ilvl w:val="0"/>
                <w:numId w:val="2"/>
              </w:numPr>
              <w:tabs>
                <w:tab w:val="left" w:pos="1290"/>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c>
          <w:tcPr>
            <w:tcW w:w="6210" w:type="dxa"/>
            <w:gridSpan w:val="3"/>
            <w:noWrap w:val="0"/>
            <w:tcMar>
              <w:top w:w="0" w:type="dxa"/>
              <w:left w:w="57" w:type="dxa"/>
              <w:bottom w:w="0" w:type="dxa"/>
              <w:right w:w="57" w:type="dxa"/>
            </w:tcMar>
            <w:vAlign w:val="center"/>
          </w:tcPr>
          <w:p w14:paraId="4DEE353A">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7.因乙方维护不当或乙方原因导致医院较大范围业务中断，每次扣10分。</w:t>
            </w:r>
          </w:p>
        </w:tc>
        <w:tc>
          <w:tcPr>
            <w:tcW w:w="766" w:type="dxa"/>
            <w:noWrap w:val="0"/>
            <w:vAlign w:val="center"/>
          </w:tcPr>
          <w:p w14:paraId="33D30325">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c>
          <w:tcPr>
            <w:tcW w:w="1098" w:type="dxa"/>
            <w:noWrap w:val="0"/>
            <w:vAlign w:val="center"/>
          </w:tcPr>
          <w:p w14:paraId="558F1180">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r>
      <w:tr w14:paraId="4A525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0" w:hRule="atLeast"/>
        </w:trPr>
        <w:tc>
          <w:tcPr>
            <w:tcW w:w="765" w:type="dxa"/>
            <w:vMerge w:val="continue"/>
            <w:noWrap w:val="0"/>
            <w:vAlign w:val="top"/>
          </w:tcPr>
          <w:p w14:paraId="024ACFC0">
            <w:pPr>
              <w:keepNext w:val="0"/>
              <w:keepLines w:val="0"/>
              <w:pageBreakBefore w:val="0"/>
              <w:widowControl w:val="0"/>
              <w:numPr>
                <w:ilvl w:val="0"/>
                <w:numId w:val="2"/>
              </w:numPr>
              <w:tabs>
                <w:tab w:val="left" w:pos="1290"/>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c>
          <w:tcPr>
            <w:tcW w:w="6210" w:type="dxa"/>
            <w:gridSpan w:val="3"/>
            <w:noWrap w:val="0"/>
            <w:tcMar>
              <w:top w:w="0" w:type="dxa"/>
              <w:left w:w="57" w:type="dxa"/>
              <w:bottom w:w="0" w:type="dxa"/>
              <w:right w:w="57" w:type="dxa"/>
            </w:tcMar>
            <w:vAlign w:val="center"/>
          </w:tcPr>
          <w:p w14:paraId="036FC810">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8.因乙方维护不当或因乙方原因造成重大事故或重大安全事故隐患，每次扣20分。</w:t>
            </w:r>
          </w:p>
        </w:tc>
        <w:tc>
          <w:tcPr>
            <w:tcW w:w="766" w:type="dxa"/>
            <w:noWrap w:val="0"/>
            <w:vAlign w:val="center"/>
          </w:tcPr>
          <w:p w14:paraId="7B334CE3">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p w14:paraId="0A12DED3">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c>
          <w:tcPr>
            <w:tcW w:w="1098" w:type="dxa"/>
            <w:noWrap w:val="0"/>
            <w:vAlign w:val="center"/>
          </w:tcPr>
          <w:p w14:paraId="2AEBDD14">
            <w:pPr>
              <w:keepNext w:val="0"/>
              <w:keepLines w:val="0"/>
              <w:pageBreakBefore w:val="0"/>
              <w:widowControl w:val="0"/>
              <w:tabs>
                <w:tab w:val="left" w:pos="361"/>
              </w:tabs>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rPr>
            </w:pPr>
          </w:p>
        </w:tc>
      </w:tr>
      <w:tr w14:paraId="6A38E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rPr>
        <w:tc>
          <w:tcPr>
            <w:tcW w:w="3113" w:type="dxa"/>
            <w:gridSpan w:val="2"/>
            <w:noWrap w:val="0"/>
            <w:tcMar>
              <w:top w:w="0" w:type="dxa"/>
              <w:left w:w="57" w:type="dxa"/>
              <w:bottom w:w="0" w:type="dxa"/>
              <w:right w:w="57" w:type="dxa"/>
            </w:tcMar>
            <w:vAlign w:val="top"/>
          </w:tcPr>
          <w:p w14:paraId="3F24F30E">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考核总得分：</w:t>
            </w:r>
          </w:p>
        </w:tc>
        <w:tc>
          <w:tcPr>
            <w:tcW w:w="2310" w:type="dxa"/>
            <w:noWrap w:val="0"/>
            <w:tcMar>
              <w:top w:w="0" w:type="dxa"/>
              <w:left w:w="57" w:type="dxa"/>
              <w:bottom w:w="0" w:type="dxa"/>
              <w:right w:w="57" w:type="dxa"/>
            </w:tcMar>
            <w:vAlign w:val="top"/>
          </w:tcPr>
          <w:p w14:paraId="0A13789A">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考核人：</w:t>
            </w:r>
          </w:p>
        </w:tc>
        <w:tc>
          <w:tcPr>
            <w:tcW w:w="3416" w:type="dxa"/>
            <w:gridSpan w:val="3"/>
            <w:noWrap w:val="0"/>
            <w:tcMar>
              <w:top w:w="0" w:type="dxa"/>
              <w:left w:w="57" w:type="dxa"/>
              <w:bottom w:w="0" w:type="dxa"/>
              <w:right w:w="57" w:type="dxa"/>
            </w:tcMar>
            <w:vAlign w:val="top"/>
          </w:tcPr>
          <w:p w14:paraId="2308FFFC">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维护单位签字确认：</w:t>
            </w:r>
          </w:p>
        </w:tc>
      </w:tr>
      <w:tr w14:paraId="2586E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0" w:hRule="atLeast"/>
        </w:trPr>
        <w:tc>
          <w:tcPr>
            <w:tcW w:w="765" w:type="dxa"/>
            <w:noWrap w:val="0"/>
            <w:vAlign w:val="center"/>
          </w:tcPr>
          <w:p w14:paraId="089CA231">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意见：</w:t>
            </w:r>
          </w:p>
        </w:tc>
        <w:tc>
          <w:tcPr>
            <w:tcW w:w="8074" w:type="dxa"/>
            <w:gridSpan w:val="5"/>
            <w:noWrap w:val="0"/>
            <w:vAlign w:val="top"/>
          </w:tcPr>
          <w:p w14:paraId="77FBA879">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lang w:val="en-US" w:eastAsia="zh-CN"/>
              </w:rPr>
            </w:pPr>
          </w:p>
          <w:p w14:paraId="0C8C3AEB">
            <w:pPr>
              <w:keepNext w:val="0"/>
              <w:keepLines w:val="0"/>
              <w:pageBreakBefore w:val="0"/>
              <w:widowControl w:val="0"/>
              <w:kinsoku/>
              <w:wordWrap/>
              <w:overflowPunct/>
              <w:topLinePunct w:val="0"/>
              <w:autoSpaceDE/>
              <w:autoSpaceDN/>
              <w:bidi w:val="0"/>
              <w:adjustRightInd w:val="0"/>
              <w:snapToGrid w:val="0"/>
              <w:spacing w:line="360" w:lineRule="exact"/>
              <w:ind w:left="0" w:leftChars="0" w:right="0" w:firstLine="0" w:firstLineChars="0"/>
              <w:jc w:val="left"/>
              <w:textAlignment w:val="auto"/>
              <w:rPr>
                <w:rFonts w:hint="eastAsia" w:ascii="宋体" w:hAnsi="宋体" w:eastAsia="宋体" w:cs="宋体"/>
                <w:color w:val="auto"/>
                <w:sz w:val="21"/>
                <w:szCs w:val="21"/>
                <w:highlight w:val="none"/>
                <w:lang w:val="en-US" w:eastAsia="zh-CN"/>
              </w:rPr>
            </w:pPr>
          </w:p>
        </w:tc>
      </w:tr>
      <w:tr w14:paraId="62F55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95" w:hRule="atLeast"/>
        </w:trPr>
        <w:tc>
          <w:tcPr>
            <w:tcW w:w="8839" w:type="dxa"/>
            <w:gridSpan w:val="6"/>
            <w:noWrap w:val="0"/>
            <w:tcMar>
              <w:top w:w="0" w:type="dxa"/>
              <w:left w:w="57" w:type="dxa"/>
              <w:bottom w:w="0" w:type="dxa"/>
              <w:right w:w="57" w:type="dxa"/>
            </w:tcMar>
            <w:vAlign w:val="top"/>
          </w:tcPr>
          <w:p w14:paraId="5BE015E5">
            <w:pPr>
              <w:tabs>
                <w:tab w:val="left" w:pos="643"/>
              </w:tabs>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备注：</w:t>
            </w:r>
          </w:p>
          <w:p w14:paraId="37A986A3">
            <w:pPr>
              <w:tabs>
                <w:tab w:val="left" w:pos="643"/>
              </w:tabs>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考核满分为100分。最终考核得分与尾款支付比例如下：</w:t>
            </w:r>
          </w:p>
          <w:p w14:paraId="7371918E">
            <w:pPr>
              <w:tabs>
                <w:tab w:val="left" w:pos="643"/>
              </w:tabs>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（1）得分 ≥ 90分，视为合格；</w:t>
            </w:r>
          </w:p>
          <w:p w14:paraId="16D72CD7">
            <w:pPr>
              <w:tabs>
                <w:tab w:val="left" w:pos="643"/>
              </w:tabs>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（2）80分 ≤ 得分 &lt; 90分，扣除合同总价的</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0%；</w:t>
            </w:r>
          </w:p>
          <w:p w14:paraId="154E5929">
            <w:pPr>
              <w:tabs>
                <w:tab w:val="left" w:pos="643"/>
              </w:tabs>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（3）得分 &lt; 80分，视为不合格。</w:t>
            </w:r>
          </w:p>
        </w:tc>
      </w:tr>
    </w:tbl>
    <w:p w14:paraId="1CB5FA71">
      <w:pPr>
        <w:ind w:left="0" w:leftChars="0" w:firstLine="0" w:firstLineChars="0"/>
        <w:rPr>
          <w:rFonts w:hint="eastAsia" w:ascii="宋体" w:hAnsi="宋体" w:eastAsia="宋体" w:cs="宋体"/>
        </w:rPr>
      </w:pPr>
    </w:p>
    <w:p w14:paraId="76B2AD16"/>
    <w:p w14:paraId="756014E6">
      <w:pPr>
        <w:rPr>
          <w:color w:val="auto"/>
        </w:rPr>
      </w:pPr>
    </w:p>
    <w:p w14:paraId="6CC75C05">
      <w:pPr>
        <w:rPr>
          <w:color w:val="auto"/>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29A33">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436982">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3436982">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decimal"/>
      <w:lvlText w:val="%1."/>
      <w:lvlJc w:val="left"/>
      <w:pPr>
        <w:tabs>
          <w:tab w:val="left" w:pos="780"/>
        </w:tabs>
        <w:ind w:left="780" w:hanging="420"/>
      </w:pPr>
    </w:lvl>
    <w:lvl w:ilvl="1" w:tentative="0">
      <w:start w:val="1"/>
      <w:numFmt w:val="lowerLetter"/>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1">
    <w:nsid w:val="00000006"/>
    <w:multiLevelType w:val="multilevel"/>
    <w:tmpl w:val="00000006"/>
    <w:lvl w:ilvl="0" w:tentative="0">
      <w:start w:val="1"/>
      <w:numFmt w:val="decimal"/>
      <w:lvlText w:val="%1."/>
      <w:lvlJc w:val="left"/>
      <w:pPr>
        <w:tabs>
          <w:tab w:val="left" w:pos="780"/>
        </w:tabs>
        <w:ind w:left="78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EBA434A"/>
    <w:rsid w:val="126367D0"/>
    <w:rsid w:val="1492556A"/>
    <w:rsid w:val="25FC4C17"/>
    <w:rsid w:val="30FB3803"/>
    <w:rsid w:val="4BE37548"/>
    <w:rsid w:val="66333002"/>
    <w:rsid w:val="6DBE7EBD"/>
    <w:rsid w:val="6E0D283D"/>
    <w:rsid w:val="6EBA434A"/>
    <w:rsid w:val="75A542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2"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2"/>
    <w:pPr>
      <w:keepNext/>
      <w:autoSpaceDE w:val="0"/>
      <w:autoSpaceDN w:val="0"/>
      <w:adjustRightInd w:val="0"/>
      <w:jc w:val="left"/>
      <w:outlineLvl w:val="0"/>
    </w:pPr>
    <w:rPr>
      <w:rFonts w:ascii="仿宋_GB2312" w:eastAsia="仿宋_GB2312"/>
      <w:b/>
      <w:bCs/>
      <w:color w:val="000000"/>
      <w:kern w:val="0"/>
      <w:sz w:val="20"/>
      <w:szCs w:val="20"/>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next w:val="4"/>
    <w:semiHidden/>
    <w:qFormat/>
    <w:uiPriority w:val="0"/>
    <w:pPr>
      <w:widowControl/>
      <w:kinsoku w:val="0"/>
      <w:autoSpaceDE w:val="0"/>
      <w:autoSpaceDN w:val="0"/>
      <w:adjustRightInd w:val="0"/>
      <w:snapToGrid w:val="0"/>
      <w:jc w:val="left"/>
      <w:textAlignment w:val="baseline"/>
    </w:pPr>
    <w:rPr>
      <w:rFonts w:ascii="宋体" w:hAnsi="宋体" w:eastAsia="宋体" w:cs="宋体"/>
      <w:snapToGrid w:val="0"/>
      <w:color w:val="000000"/>
      <w:kern w:val="0"/>
      <w:sz w:val="31"/>
      <w:szCs w:val="31"/>
      <w:lang w:eastAsia="en-US"/>
    </w:rPr>
  </w:style>
  <w:style w:type="paragraph" w:styleId="4">
    <w:name w:val="Body Text First Indent"/>
    <w:basedOn w:val="3"/>
    <w:unhideWhenUsed/>
    <w:qFormat/>
    <w:uiPriority w:val="99"/>
    <w:pPr>
      <w:ind w:firstLine="420" w:firstLineChars="100"/>
    </w:pPr>
    <w:rPr>
      <w:kern w:val="0"/>
      <w:sz w:val="20"/>
    </w:rPr>
  </w:style>
  <w:style w:type="paragraph" w:styleId="5">
    <w:name w:val="Plain Text"/>
    <w:basedOn w:val="1"/>
    <w:unhideWhenUsed/>
    <w:qFormat/>
    <w:uiPriority w:val="99"/>
    <w:rPr>
      <w:rFonts w:ascii="宋体" w:hAnsi="Courier New" w:cs="Courier New"/>
    </w:rPr>
  </w:style>
  <w:style w:type="paragraph" w:styleId="6">
    <w:name w:val="footer"/>
    <w:basedOn w:val="1"/>
    <w:unhideWhenUsed/>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2600</Words>
  <Characters>2677</Characters>
  <Lines>0</Lines>
  <Paragraphs>0</Paragraphs>
  <TotalTime>0</TotalTime>
  <ScaleCrop>false</ScaleCrop>
  <LinksUpToDate>false</LinksUpToDate>
  <CharactersWithSpaces>2692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2025-11-08T13:12:00Z</dcterms:created>
  <dc:creator>jsdn8</dc:creator>
  <cp:lastModifiedBy>孔萱</cp:lastModifiedBy>
  <dcterms:modified xsi:type="dcterms:W3CDTF">2026-06-19T14:42:06Z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A676BD863D4646E0AD0B1B00A96E1569_13</vt:lpwstr>
  </property>
  <property fmtid="{D5CDD505-2E9C-101B-9397-08002B2CF9AE}" pid="4" name="KSOTemplateDocerSaveRecord">
    <vt:lpwstr>eyJoZGlkIjoiMzY3OTY0MGE0NDAxOWQzMGFhZDUzMmJiODY0MmUwODciLCJ1c2VySWQiOiIxNDU2OTQ0Njk3In0=</vt:lpwstr>
  </property>
</Properties>
</file>